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5D9A389F">
      <w:pPr>
        <w:pStyle w:val="112"/>
        <w:sectPr>
          <w:headerReference r:id="rId3" w:type="default"/>
          <w:footerReference r:id="rId5" w:type="default"/>
          <w:headerReference r:id="rId4" w:type="even"/>
          <w:footerReference r:id="rId6" w:type="even"/>
          <w:pgSz w:w="11907" w:h="16839"/>
          <w:pgMar w:top="1985" w:right="1134" w:bottom="1134" w:left="1134" w:header="1418" w:footer="851" w:gutter="284"/>
          <w:cols w:space="720" w:num="1"/>
          <w:titlePg/>
          <w:docGrid w:type="linesAndChars" w:linePitch="312" w:charSpace="0"/>
        </w:sectPr>
      </w:pPr>
      <w:bookmarkStart w:id="0" w:name="SectionMark0"/>
      <w:r>
        <w:drawing>
          <wp:anchor distT="0" distB="0" distL="114300" distR="114300" simplePos="0" relativeHeight="251669504" behindDoc="0" locked="0" layoutInCell="1" allowOverlap="1">
            <wp:simplePos x="0" y="0"/>
            <wp:positionH relativeFrom="column">
              <wp:posOffset>4542155</wp:posOffset>
            </wp:positionH>
            <wp:positionV relativeFrom="paragraph">
              <wp:posOffset>-897255</wp:posOffset>
            </wp:positionV>
            <wp:extent cx="1424305" cy="327660"/>
            <wp:effectExtent l="0" t="0" r="0" b="0"/>
            <wp:wrapNone/>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t="56892"/>
                    <a:stretch>
                      <a:fillRect/>
                    </a:stretch>
                  </pic:blipFill>
                  <pic:spPr>
                    <a:xfrm>
                      <a:off x="0" y="0"/>
                      <a:ext cx="1424305" cy="327660"/>
                    </a:xfrm>
                    <a:prstGeom prst="rect">
                      <a:avLst/>
                    </a:prstGeom>
                    <a:noFill/>
                    <a:ln w="9525">
                      <a:noFill/>
                      <a:miter lim="800000"/>
                      <a:headEnd/>
                      <a:tailEnd/>
                    </a:ln>
                  </pic:spPr>
                </pic:pic>
              </a:graphicData>
            </a:graphic>
          </wp:anchor>
        </w:drawing>
      </w:r>
      <w:r>
        <w:rPr>
          <w:rFonts w:hint="eastAsia" w:ascii="黑体" w:hAnsi="黑体" w:eastAsia="黑体" w:cs="黑体"/>
          <w:szCs w:val="21"/>
        </w:rPr>
        <mc:AlternateContent>
          <mc:Choice Requires="wps">
            <w:drawing>
              <wp:anchor distT="0" distB="0" distL="114300" distR="114300" simplePos="0" relativeHeight="251668480" behindDoc="0" locked="1" layoutInCell="1" allowOverlap="1">
                <wp:simplePos x="0" y="0"/>
                <wp:positionH relativeFrom="margin">
                  <wp:posOffset>48260</wp:posOffset>
                </wp:positionH>
                <wp:positionV relativeFrom="margin">
                  <wp:posOffset>-1054735</wp:posOffset>
                </wp:positionV>
                <wp:extent cx="2613660" cy="44196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613660" cy="441960"/>
                        </a:xfrm>
                        <a:prstGeom prst="rect">
                          <a:avLst/>
                        </a:prstGeom>
                        <a:solidFill>
                          <a:srgbClr val="FFFFFF"/>
                        </a:solidFill>
                        <a:ln>
                          <a:noFill/>
                        </a:ln>
                      </wps:spPr>
                      <wps:txbx>
                        <w:txbxContent>
                          <w:p w14:paraId="61676F80">
                            <w:pPr>
                              <w:pStyle w:val="53"/>
                              <w:rPr>
                                <w:rFonts w:hint="eastAsia" w:ascii="黑体" w:hAnsi="黑体"/>
                                <w:sz w:val="21"/>
                                <w:szCs w:val="21"/>
                              </w:rPr>
                            </w:pPr>
                            <w:r>
                              <w:rPr>
                                <w:rFonts w:hint="eastAsia" w:ascii="黑体" w:hAnsi="黑体"/>
                                <w:sz w:val="21"/>
                                <w:szCs w:val="21"/>
                              </w:rPr>
                              <w:t>ICS</w:t>
                            </w:r>
                          </w:p>
                          <w:p w14:paraId="582D5DCF">
                            <w:pPr>
                              <w:pStyle w:val="53"/>
                              <w:rPr>
                                <w:rFonts w:hint="eastAsia" w:ascii="黑体" w:hAnsi="黑体"/>
                                <w:sz w:val="21"/>
                                <w:szCs w:val="21"/>
                              </w:rPr>
                            </w:pPr>
                            <w:r>
                              <w:rPr>
                                <w:rFonts w:hint="eastAsia" w:ascii="黑体" w:hAnsi="黑体"/>
                                <w:sz w:val="21"/>
                                <w:szCs w:val="21"/>
                              </w:rPr>
                              <w:t>C</w:t>
                            </w:r>
                            <w:r>
                              <w:rPr>
                                <w:rFonts w:ascii="黑体" w:hAnsi="黑体"/>
                                <w:sz w:val="21"/>
                                <w:szCs w:val="21"/>
                              </w:rPr>
                              <w:t>AA</w:t>
                            </w:r>
                          </w:p>
                        </w:txbxContent>
                      </wps:txbx>
                      <wps:bodyPr wrap="square" lIns="0" tIns="0" rIns="0" bIns="0" upright="1">
                        <a:noAutofit/>
                      </wps:bodyPr>
                    </wps:wsp>
                  </a:graphicData>
                </a:graphic>
              </wp:anchor>
            </w:drawing>
          </mc:Choice>
          <mc:Fallback>
            <w:pict>
              <v:shape id="_x0000_s1026" o:spid="_x0000_s1026" o:spt="202" type="#_x0000_t202" style="position:absolute;left:0pt;margin-left:3.8pt;margin-top:-83.05pt;height:34.8pt;width:205.8pt;mso-position-horizontal-relative:margin;mso-position-vertical-relative:margin;z-index:251668480;mso-width-relative:page;mso-height-relative:page;" fillcolor="#FFFFFF" filled="t" stroked="f" coordsize="21600,21600" o:gfxdata="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whR92QAA&#10;AAoBAAAPAAAAAAAAAAEAIAAAACIAAABkcnMvZG93bnJldi54bWxQSwECFAAUAAAACACHTuJA7kCz&#10;puQBAADFAwAADgAAAAAAAAABACAAAAAoAQAAZHJzL2Uyb0RvYy54bWxQSwUGAAAAAAYABgBZAQAA&#10;fgUAAAAA&#10;">
                <v:fill on="t" focussize="0,0"/>
                <v:stroke on="f"/>
                <v:imagedata o:title=""/>
                <o:lock v:ext="edit" aspectratio="f"/>
                <v:textbox inset="0mm,0mm,0mm,0mm">
                  <w:txbxContent>
                    <w:p w14:paraId="61676F80">
                      <w:pPr>
                        <w:pStyle w:val="53"/>
                        <w:rPr>
                          <w:rFonts w:hint="eastAsia" w:ascii="黑体" w:hAnsi="黑体"/>
                          <w:sz w:val="21"/>
                          <w:szCs w:val="21"/>
                        </w:rPr>
                      </w:pPr>
                      <w:r>
                        <w:rPr>
                          <w:rFonts w:hint="eastAsia" w:ascii="黑体" w:hAnsi="黑体"/>
                          <w:sz w:val="21"/>
                          <w:szCs w:val="21"/>
                        </w:rPr>
                        <w:t>ICS</w:t>
                      </w:r>
                    </w:p>
                    <w:p w14:paraId="582D5DCF">
                      <w:pPr>
                        <w:pStyle w:val="53"/>
                        <w:rPr>
                          <w:rFonts w:hint="eastAsia" w:ascii="黑体" w:hAnsi="黑体"/>
                          <w:sz w:val="21"/>
                          <w:szCs w:val="21"/>
                        </w:rPr>
                      </w:pPr>
                      <w:r>
                        <w:rPr>
                          <w:rFonts w:hint="eastAsia" w:ascii="黑体" w:hAnsi="黑体"/>
                          <w:sz w:val="21"/>
                          <w:szCs w:val="21"/>
                        </w:rPr>
                        <w:t>C</w:t>
                      </w:r>
                      <w:r>
                        <w:rPr>
                          <w:rFonts w:ascii="黑体" w:hAnsi="黑体"/>
                          <w:sz w:val="21"/>
                          <w:szCs w:val="21"/>
                        </w:rPr>
                        <w:t>AA</w:t>
                      </w:r>
                    </w:p>
                  </w:txbxContent>
                </v:textbox>
                <w10:anchorlock/>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-1270</wp:posOffset>
                </wp:positionH>
                <wp:positionV relativeFrom="paragraph">
                  <wp:posOffset>8023860</wp:posOffset>
                </wp:positionV>
                <wp:extent cx="5970270" cy="0"/>
                <wp:effectExtent l="13335" t="6985" r="7620" b="12065"/>
                <wp:wrapNone/>
                <wp:docPr id="17" name="Line 14"/>
                <wp:cNvGraphicFramePr/>
                <a:graphic xmlns:a="http://schemas.openxmlformats.org/drawingml/2006/main">
                  <a:graphicData uri="http://schemas.microsoft.com/office/word/2010/wordprocessingShape">
                    <wps:wsp>
                      <wps:cNvCnPr>
                        <a:cxnSpLocks noChangeShapeType="1"/>
                      </wps:cNvCnPr>
                      <wps:spPr bwMode="auto">
                        <a:xfrm>
                          <a:off x="0" y="0"/>
                          <a:ext cx="5970270" cy="0"/>
                        </a:xfrm>
                        <a:prstGeom prst="line">
                          <a:avLst/>
                        </a:prstGeom>
                        <a:noFill/>
                        <a:ln w="12700">
                          <a:solidFill>
                            <a:srgbClr val="000000"/>
                          </a:solidFill>
                          <a:round/>
                        </a:ln>
                      </wps:spPr>
                      <wps:bodyPr/>
                    </wps:wsp>
                  </a:graphicData>
                </a:graphic>
              </wp:anchor>
            </w:drawing>
          </mc:Choice>
          <mc:Fallback>
            <w:pict>
              <v:line id="Line 14" o:spid="_x0000_s1026" o:spt="20" style="position:absolute;left:0pt;margin-left:-0.1pt;margin-top:631.8pt;height:0pt;width:470.1pt;z-index:251667456;mso-width-relative:page;mso-height-relative:page;" filled="f" stroked="t" coordsize="21600,21600" o:gfxdata="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1JpyzXAAAACwEAAA8AAAAAAAAAAQAgAAAAIgAAAGRycy9k&#10;b3ducmV2LnhtbFBLAQIUABQAAAAIAIdO4kDnYUBaygEAAKIDAAAOAAAAAAAAAAEAIAAAACYBAABk&#10;cnMvZTJvRG9jLnhtbFBLBQYAAAAABgAGAFkBAABi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1423035</wp:posOffset>
                </wp:positionV>
                <wp:extent cx="5970270" cy="0"/>
                <wp:effectExtent l="13335" t="6985" r="7620" b="12065"/>
                <wp:wrapNone/>
                <wp:docPr id="15" name="直线 10"/>
                <wp:cNvGraphicFramePr/>
                <a:graphic xmlns:a="http://schemas.openxmlformats.org/drawingml/2006/main">
                  <a:graphicData uri="http://schemas.microsoft.com/office/word/2010/wordprocessingShape">
                    <wps:wsp>
                      <wps:cNvCnPr>
                        <a:cxnSpLocks noChangeShapeType="1"/>
                      </wps:cNvCnPr>
                      <wps:spPr bwMode="auto">
                        <a:xfrm>
                          <a:off x="0" y="0"/>
                          <a:ext cx="5970270" cy="0"/>
                        </a:xfrm>
                        <a:prstGeom prst="line">
                          <a:avLst/>
                        </a:prstGeom>
                        <a:noFill/>
                        <a:ln w="12700">
                          <a:solidFill>
                            <a:srgbClr val="000000"/>
                          </a:solidFill>
                          <a:round/>
                        </a:ln>
                      </wps:spPr>
                      <wps:bodyPr/>
                    </wps:wsp>
                  </a:graphicData>
                </a:graphic>
              </wp:anchor>
            </w:drawing>
          </mc:Choice>
          <mc:Fallback>
            <w:pict>
              <v:line id="直线 10" o:spid="_x0000_s1026" o:spt="20" style="position:absolute;left:0pt;margin-left:-0.1pt;margin-top:112.05pt;height:0pt;width:470.1pt;z-index:251665408;mso-width-relative:page;mso-height-relative:page;" filled="f" stroked="t" coordsize="21600,21600" o:gfxdata="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G3iptcAAAAJAQAADwAAAAAAAAAB&#10;ACAAAAAiAAAAZHJzL2Rvd25yZXYueG1sUEsBAhQAFAAAAAgAh07iQKRQ+eDYAQAApAMAAA4AAAAA&#10;AAAAAQAgAAAAJgEAAGRycy9lMm9Eb2MueG1sUEsFBgAAAAAGAAYAWQEAAHAFA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4384" behindDoc="0" locked="1" layoutInCell="1" allowOverlap="1">
                <wp:simplePos x="0" y="0"/>
                <wp:positionH relativeFrom="margin">
                  <wp:posOffset>356870</wp:posOffset>
                </wp:positionH>
                <wp:positionV relativeFrom="margin">
                  <wp:posOffset>8467090</wp:posOffset>
                </wp:positionV>
                <wp:extent cx="5447030" cy="363220"/>
                <wp:effectExtent l="0" t="2540" r="1270" b="0"/>
                <wp:wrapNone/>
                <wp:docPr id="13" name="fmFrame7"/>
                <wp:cNvGraphicFramePr/>
                <a:graphic xmlns:a="http://schemas.openxmlformats.org/drawingml/2006/main">
                  <a:graphicData uri="http://schemas.microsoft.com/office/word/2010/wordprocessingShape">
                    <wps:wsp>
                      <wps:cNvSpPr txBox="1">
                        <a:spLocks noChangeArrowheads="1"/>
                      </wps:cNvSpPr>
                      <wps:spPr bwMode="auto">
                        <a:xfrm>
                          <a:off x="0" y="0"/>
                          <a:ext cx="5447030" cy="363220"/>
                        </a:xfrm>
                        <a:prstGeom prst="rect">
                          <a:avLst/>
                        </a:prstGeom>
                        <a:solidFill>
                          <a:srgbClr val="FFFFFF"/>
                        </a:solidFill>
                        <a:ln>
                          <a:noFill/>
                        </a:ln>
                      </wps:spPr>
                      <wps:txbx>
                        <w:txbxContent>
                          <w:p w14:paraId="1DDD2594">
                            <w:pPr>
                              <w:pStyle w:val="89"/>
                              <w:adjustRightInd w:val="0"/>
                              <w:snapToGrid w:val="0"/>
                              <w:spacing w:line="240" w:lineRule="auto"/>
                              <w:rPr>
                                <w:rFonts w:hint="eastAsia" w:hAnsi="黑体" w:cs="黑体"/>
                                <w:spacing w:val="0"/>
                                <w:w w:val="100"/>
                                <w:kern w:val="2"/>
                                <w:sz w:val="30"/>
                                <w:szCs w:val="30"/>
                              </w:rPr>
                            </w:pPr>
                            <w:r>
                              <w:rPr>
                                <w:rFonts w:hint="eastAsia" w:cs="黑体" w:asciiTheme="minorEastAsia" w:hAnsiTheme="minorEastAsia" w:eastAsiaTheme="minorEastAsia"/>
                                <w:spacing w:val="0"/>
                                <w:w w:val="100"/>
                                <w:kern w:val="2"/>
                                <w:sz w:val="30"/>
                                <w:szCs w:val="30"/>
                              </w:rPr>
                              <w:t>中国砂石协会</w:t>
                            </w:r>
                            <w:r>
                              <w:rPr>
                                <w:rFonts w:hint="eastAsia" w:hAnsi="黑体" w:cs="黑体"/>
                                <w:spacing w:val="0"/>
                                <w:w w:val="100"/>
                                <w:kern w:val="2"/>
                                <w:sz w:val="30"/>
                                <w:szCs w:val="30"/>
                              </w:rPr>
                              <w:t xml:space="preserve">  发 布</w:t>
                            </w:r>
                          </w:p>
                        </w:txbxContent>
                      </wps:txbx>
                      <wps:bodyPr rot="0" vert="horz" wrap="square" lIns="0" tIns="0" rIns="0" bIns="0" anchor="t" anchorCtr="0" upright="1">
                        <a:noAutofit/>
                      </wps:bodyPr>
                    </wps:wsp>
                  </a:graphicData>
                </a:graphic>
              </wp:anchor>
            </w:drawing>
          </mc:Choice>
          <mc:Fallback>
            <w:pict>
              <v:shape id="fmFrame7" o:spid="_x0000_s1026" o:spt="202" type="#_x0000_t202" style="position:absolute;left:0pt;margin-left:28.1pt;margin-top:666.7pt;height:28.6pt;width:428.9pt;mso-position-horizontal-relative:margin;mso-position-vertical-relative:margin;z-index:251664384;mso-width-relative:page;mso-height-relative:page;" fillcolor="#FFFFFF" filled="t" stroked="f" coordsize="21600,21600" o:gfxdata="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T52M2gAAAAwBAAAPAAAAAAAA&#10;AAEAIAAAACIAAABkcnMvZG93bnJldi54bWxQSwECFAAUAAAACACHTuJAXz8vuhACAAAsBAAADgAA&#10;AAAAAAABACAAAAApAQAAZHJzL2Uyb0RvYy54bWxQSwUGAAAAAAYABgBZAQAAqwUAAAAA&#10;">
                <v:fill on="t" focussize="0,0"/>
                <v:stroke on="f"/>
                <v:imagedata o:title=""/>
                <o:lock v:ext="edit" aspectratio="f"/>
                <v:textbox inset="0mm,0mm,0mm,0mm">
                  <w:txbxContent>
                    <w:p w14:paraId="1DDD2594">
                      <w:pPr>
                        <w:pStyle w:val="89"/>
                        <w:adjustRightInd w:val="0"/>
                        <w:snapToGrid w:val="0"/>
                        <w:spacing w:line="240" w:lineRule="auto"/>
                        <w:rPr>
                          <w:rFonts w:hint="eastAsia" w:hAnsi="黑体" w:cs="黑体"/>
                          <w:spacing w:val="0"/>
                          <w:w w:val="100"/>
                          <w:kern w:val="2"/>
                          <w:sz w:val="30"/>
                          <w:szCs w:val="30"/>
                        </w:rPr>
                      </w:pPr>
                      <w:r>
                        <w:rPr>
                          <w:rFonts w:hint="eastAsia" w:cs="黑体" w:asciiTheme="minorEastAsia" w:hAnsiTheme="minorEastAsia" w:eastAsiaTheme="minorEastAsia"/>
                          <w:spacing w:val="0"/>
                          <w:w w:val="100"/>
                          <w:kern w:val="2"/>
                          <w:sz w:val="30"/>
                          <w:szCs w:val="30"/>
                        </w:rPr>
                        <w:t>中国砂石协会</w:t>
                      </w:r>
                      <w:r>
                        <w:rPr>
                          <w:rFonts w:hint="eastAsia" w:hAnsi="黑体" w:cs="黑体"/>
                          <w:spacing w:val="0"/>
                          <w:w w:val="100"/>
                          <w:kern w:val="2"/>
                          <w:sz w:val="30"/>
                          <w:szCs w:val="30"/>
                        </w:rPr>
                        <w:t xml:space="preserve">  发 布</w:t>
                      </w:r>
                    </w:p>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posOffset>3625215</wp:posOffset>
                </wp:positionH>
                <wp:positionV relativeFrom="margin">
                  <wp:posOffset>7653655</wp:posOffset>
                </wp:positionV>
                <wp:extent cx="2343785" cy="312420"/>
                <wp:effectExtent l="1270" t="0" r="0" b="3175"/>
                <wp:wrapNone/>
                <wp:docPr id="12" name="fmFrame6"/>
                <wp:cNvGraphicFramePr/>
                <a:graphic xmlns:a="http://schemas.openxmlformats.org/drawingml/2006/main">
                  <a:graphicData uri="http://schemas.microsoft.com/office/word/2010/wordprocessingShape">
                    <wps:wsp>
                      <wps:cNvSpPr txBox="1">
                        <a:spLocks noChangeArrowheads="1"/>
                      </wps:cNvSpPr>
                      <wps:spPr bwMode="auto">
                        <a:xfrm>
                          <a:off x="0" y="0"/>
                          <a:ext cx="2343785" cy="312420"/>
                        </a:xfrm>
                        <a:prstGeom prst="rect">
                          <a:avLst/>
                        </a:prstGeom>
                        <a:solidFill>
                          <a:srgbClr val="FFFFFF"/>
                        </a:solidFill>
                        <a:ln>
                          <a:noFill/>
                        </a:ln>
                      </wps:spPr>
                      <wps:txbx>
                        <w:txbxContent>
                          <w:p w14:paraId="7637A4E6">
                            <w:pPr>
                              <w:pStyle w:val="77"/>
                              <w:rPr>
                                <w:rFonts w:hint="eastAsia" w:ascii="黑体" w:hAnsi="黑体"/>
                                <w:sz w:val="30"/>
                                <w:szCs w:val="30"/>
                              </w:rPr>
                            </w:pPr>
                            <w:r>
                              <w:rPr>
                                <w:rFonts w:hint="eastAsia" w:ascii="黑体" w:hAnsi="黑体"/>
                                <w:sz w:val="30"/>
                                <w:szCs w:val="30"/>
                              </w:rPr>
                              <w:t>202X-XX-XX实施</w:t>
                            </w:r>
                          </w:p>
                        </w:txbxContent>
                      </wps:txbx>
                      <wps:bodyPr rot="0" vert="horz" wrap="square" lIns="0" tIns="0" rIns="0" bIns="0" anchor="t" anchorCtr="0" upright="1">
                        <a:noAutofit/>
                      </wps:bodyPr>
                    </wps:wsp>
                  </a:graphicData>
                </a:graphic>
              </wp:anchor>
            </w:drawing>
          </mc:Choice>
          <mc:Fallback>
            <w:pict>
              <v:shape id="fmFrame6" o:spid="_x0000_s1026" o:spt="202" type="#_x0000_t202" style="position:absolute;left:0pt;margin-left:285.45pt;margin-top:602.65pt;height:24.6pt;width:184.55pt;mso-position-horizontal-relative:margin;mso-position-vertical-relative:margin;z-index:251663360;mso-width-relative:page;mso-height-relative:page;" fillcolor="#FFFFFF" filled="t" stroked="f" coordsize="21600,21600" o:gfxdata="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JQa8NsAAAANAQAADwAAAAAA&#10;AAABACAAAAAiAAAAZHJzL2Rvd25yZXYueG1sUEsBAhQAFAAAAAgAh07iQCIIBX8QAgAALAQAAA4A&#10;AAAAAAAAAQAgAAAAKgEAAGRycy9lMm9Eb2MueG1sUEsFBgAAAAAGAAYAWQEAAKwFAAAAAA==&#10;">
                <v:fill on="t" focussize="0,0"/>
                <v:stroke on="f"/>
                <v:imagedata o:title=""/>
                <o:lock v:ext="edit" aspectratio="f"/>
                <v:textbox inset="0mm,0mm,0mm,0mm">
                  <w:txbxContent>
                    <w:p w14:paraId="7637A4E6">
                      <w:pPr>
                        <w:pStyle w:val="77"/>
                        <w:rPr>
                          <w:rFonts w:hint="eastAsia" w:ascii="黑体" w:hAnsi="黑体"/>
                          <w:sz w:val="30"/>
                          <w:szCs w:val="30"/>
                        </w:rPr>
                      </w:pPr>
                      <w:r>
                        <w:rPr>
                          <w:rFonts w:hint="eastAsia" w:ascii="黑体" w:hAnsi="黑体"/>
                          <w:sz w:val="30"/>
                          <w:szCs w:val="30"/>
                        </w:rPr>
                        <w:t>202X-XX-XX实施</w:t>
                      </w:r>
                    </w:p>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7653655</wp:posOffset>
                </wp:positionV>
                <wp:extent cx="2176145" cy="312420"/>
                <wp:effectExtent l="0" t="0" r="0" b="3175"/>
                <wp:wrapNone/>
                <wp:docPr id="11" name="fmFrame5"/>
                <wp:cNvGraphicFramePr/>
                <a:graphic xmlns:a="http://schemas.openxmlformats.org/drawingml/2006/main">
                  <a:graphicData uri="http://schemas.microsoft.com/office/word/2010/wordprocessingShape">
                    <wps:wsp>
                      <wps:cNvSpPr txBox="1">
                        <a:spLocks noChangeArrowheads="1"/>
                      </wps:cNvSpPr>
                      <wps:spPr bwMode="auto">
                        <a:xfrm>
                          <a:off x="0" y="0"/>
                          <a:ext cx="2176145" cy="312420"/>
                        </a:xfrm>
                        <a:prstGeom prst="rect">
                          <a:avLst/>
                        </a:prstGeom>
                        <a:solidFill>
                          <a:srgbClr val="FFFFFF"/>
                        </a:solidFill>
                        <a:ln>
                          <a:noFill/>
                        </a:ln>
                      </wps:spPr>
                      <wps:txbx>
                        <w:txbxContent>
                          <w:p w14:paraId="485768EA">
                            <w:pPr>
                              <w:pStyle w:val="53"/>
                              <w:rPr>
                                <w:rFonts w:hint="eastAsia" w:ascii="黑体" w:hAnsi="黑体"/>
                                <w:sz w:val="30"/>
                                <w:szCs w:val="30"/>
                              </w:rPr>
                            </w:pPr>
                            <w:r>
                              <w:rPr>
                                <w:rFonts w:hint="eastAsia" w:ascii="黑体" w:hAnsi="黑体"/>
                                <w:sz w:val="30"/>
                                <w:szCs w:val="30"/>
                              </w:rPr>
                              <w:t>202X-XX-XX发布</w:t>
                            </w:r>
                          </w:p>
                        </w:txbxContent>
                      </wps:txbx>
                      <wps:bodyPr rot="0" vert="horz" wrap="square" lIns="0" tIns="0" rIns="0" bIns="0" anchor="t" anchorCtr="0" upright="1">
                        <a:noAutofit/>
                      </wps:bodyPr>
                    </wps:wsp>
                  </a:graphicData>
                </a:graphic>
              </wp:anchor>
            </w:drawing>
          </mc:Choice>
          <mc:Fallback>
            <w:pict>
              <v:shape id="fmFrame5" o:spid="_x0000_s1026" o:spt="202" type="#_x0000_t202" style="position:absolute;left:0pt;margin-left:0pt;margin-top:602.65pt;height:24.6pt;width:171.35pt;mso-position-horizontal-relative:margin;mso-position-vertical-relative:margin;z-index:251662336;mso-width-relative:page;mso-height-relative:page;" fillcolor="#FFFFFF" filled="t" stroked="f" coordsize="21600,21600" o:gfxdata="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6/a+/ZAAAACgEAAA8AAAAAAAAA&#10;AQAgAAAAIgAAAGRycy9kb3ducmV2LnhtbFBLAQIUABQAAAAIAIdO4kBWRF7MEAIAACwEAAAOAAAA&#10;AAAAAAEAIAAAACgBAABkcnMvZTJvRG9jLnhtbFBLBQYAAAAABgAGAFkBAACqBQAAAAA=&#10;">
                <v:fill on="t" focussize="0,0"/>
                <v:stroke on="f"/>
                <v:imagedata o:title=""/>
                <o:lock v:ext="edit" aspectratio="f"/>
                <v:textbox inset="0mm,0mm,0mm,0mm">
                  <w:txbxContent>
                    <w:p w14:paraId="485768EA">
                      <w:pPr>
                        <w:pStyle w:val="53"/>
                        <w:rPr>
                          <w:rFonts w:hint="eastAsia" w:ascii="黑体" w:hAnsi="黑体"/>
                          <w:sz w:val="30"/>
                          <w:szCs w:val="30"/>
                        </w:rPr>
                      </w:pPr>
                      <w:r>
                        <w:rPr>
                          <w:rFonts w:hint="eastAsia" w:ascii="黑体" w:hAnsi="黑体"/>
                          <w:sz w:val="30"/>
                          <w:szCs w:val="30"/>
                        </w:rPr>
                        <w:t>202X-XX-XX发布</w:t>
                      </w:r>
                    </w:p>
                  </w:txbxContent>
                </v:textbox>
                <w10:anchorlock/>
              </v:shape>
            </w:pict>
          </mc:Fallback>
        </mc:AlternateContent>
      </w:r>
      <w:r>
        <mc:AlternateContent>
          <mc:Choice Requires="wps">
            <w:drawing>
              <wp:anchor distT="0" distB="0" distL="114300" distR="114300" simplePos="0" relativeHeight="251661312" behindDoc="0" locked="1" layoutInCell="1" allowOverlap="1">
                <wp:simplePos x="0" y="0"/>
                <wp:positionH relativeFrom="margin">
                  <wp:posOffset>0</wp:posOffset>
                </wp:positionH>
                <wp:positionV relativeFrom="margin">
                  <wp:posOffset>3019425</wp:posOffset>
                </wp:positionV>
                <wp:extent cx="5969000" cy="4410710"/>
                <wp:effectExtent l="0" t="0" r="0" b="8890"/>
                <wp:wrapNone/>
                <wp:docPr id="9" name="fmFrame4"/>
                <wp:cNvGraphicFramePr/>
                <a:graphic xmlns:a="http://schemas.openxmlformats.org/drawingml/2006/main">
                  <a:graphicData uri="http://schemas.microsoft.com/office/word/2010/wordprocessingShape">
                    <wps:wsp>
                      <wps:cNvSpPr txBox="1">
                        <a:spLocks noChangeArrowheads="1"/>
                      </wps:cNvSpPr>
                      <wps:spPr bwMode="auto">
                        <a:xfrm>
                          <a:off x="0" y="0"/>
                          <a:ext cx="5969000" cy="4410710"/>
                        </a:xfrm>
                        <a:prstGeom prst="rect">
                          <a:avLst/>
                        </a:prstGeom>
                        <a:solidFill>
                          <a:srgbClr val="FFFFFF"/>
                        </a:solidFill>
                        <a:ln>
                          <a:noFill/>
                        </a:ln>
                      </wps:spPr>
                      <wps:txbx>
                        <w:txbxContent>
                          <w:p w14:paraId="0421A75D">
                            <w:pPr>
                              <w:pStyle w:val="64"/>
                              <w:shd w:val="clear" w:color="auto" w:fill="FFFFFF"/>
                              <w:rPr>
                                <w:szCs w:val="52"/>
                              </w:rPr>
                            </w:pPr>
                            <w:r>
                              <w:t>砂石</w:t>
                            </w:r>
                            <w:r>
                              <w:rPr>
                                <w:rFonts w:hint="eastAsia"/>
                              </w:rPr>
                              <w:t>企业信用等级评价规范</w:t>
                            </w:r>
                          </w:p>
                          <w:p w14:paraId="1A1E420D">
                            <w:pPr>
                              <w:pStyle w:val="58"/>
                              <w:rPr>
                                <w:rFonts w:ascii="Times New Roman" w:eastAsia="黑体"/>
                                <w:sz w:val="36"/>
                                <w:szCs w:val="36"/>
                              </w:rPr>
                            </w:pPr>
                            <w:r>
                              <w:rPr>
                                <w:rFonts w:ascii="Times New Roman" w:eastAsia="黑体"/>
                                <w:sz w:val="36"/>
                                <w:szCs w:val="36"/>
                              </w:rPr>
                              <w:t xml:space="preserve">Enterprise credit grade assessment norm for aggregates industry </w:t>
                            </w:r>
                          </w:p>
                          <w:p w14:paraId="15D8A718">
                            <w:pPr>
                              <w:spacing w:before="180" w:line="180" w:lineRule="exact"/>
                              <w:jc w:val="center"/>
                              <w:rPr>
                                <w:rFonts w:hint="eastAsia" w:ascii="黑体" w:hAnsi="黑体" w:eastAsia="黑体"/>
                                <w:sz w:val="28"/>
                                <w:szCs w:val="28"/>
                              </w:rPr>
                            </w:pPr>
                            <w:r>
                              <w:rPr>
                                <w:rFonts w:hint="eastAsia" w:ascii="黑体" w:hAnsi="黑体" w:eastAsia="黑体"/>
                                <w:sz w:val="28"/>
                                <w:szCs w:val="28"/>
                              </w:rPr>
                              <w:t>（</w:t>
                            </w:r>
                            <w:r>
                              <w:rPr>
                                <w:rFonts w:hint="eastAsia" w:ascii="黑体" w:hAnsi="黑体" w:eastAsia="黑体"/>
                                <w:sz w:val="28"/>
                                <w:szCs w:val="28"/>
                                <w:lang w:val="en-US" w:eastAsia="zh-CN"/>
                              </w:rPr>
                              <w:t>征求意见</w:t>
                            </w:r>
                            <w:r>
                              <w:rPr>
                                <w:rFonts w:hint="eastAsia" w:ascii="黑体" w:hAnsi="黑体" w:eastAsia="黑体"/>
                                <w:sz w:val="28"/>
                                <w:szCs w:val="28"/>
                              </w:rPr>
                              <w:t>稿）</w:t>
                            </w:r>
                          </w:p>
                          <w:p w14:paraId="338F0A4D">
                            <w:pPr>
                              <w:spacing w:after="156" w:afterLines="50"/>
                              <w:jc w:val="center"/>
                              <w:rPr>
                                <w:rFonts w:hint="eastAsia" w:ascii="黑体" w:hAnsi="黑体" w:eastAsia="黑体"/>
                                <w:sz w:val="28"/>
                                <w:szCs w:val="28"/>
                              </w:rPr>
                            </w:pPr>
                          </w:p>
                          <w:p w14:paraId="118B09DC">
                            <w:pPr>
                              <w:spacing w:after="156" w:afterLines="50"/>
                              <w:jc w:val="center"/>
                              <w:rPr>
                                <w:rFonts w:hint="eastAsia" w:ascii="黑体" w:hAnsi="黑体" w:eastAsia="黑体"/>
                                <w:sz w:val="28"/>
                                <w:szCs w:val="28"/>
                              </w:rPr>
                            </w:pPr>
                          </w:p>
                          <w:p w14:paraId="1E060741">
                            <w:pPr>
                              <w:pStyle w:val="83"/>
                              <w:jc w:val="both"/>
                              <w:rPr>
                                <w:rFonts w:ascii="黑体" w:eastAsia="黑体"/>
                                <w:color w:val="FF0000"/>
                                <w:sz w:val="28"/>
                                <w:szCs w:val="28"/>
                              </w:rPr>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0pt;margin-top:237.75pt;height:347.3pt;width:470pt;mso-position-horizontal-relative:margin;mso-position-vertical-relative:margin;z-index:251661312;mso-width-relative:page;mso-height-relative:page;" fillcolor="#FFFFFF" filled="t" stroked="f" coordsize="21600,21600" o:gfxdata="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FqRidgAAAAJAQAADwAAAAAAAAAB&#10;ACAAAAAiAAAAZHJzL2Rvd25yZXYueG1sUEsBAhQAFAAAAAgAh07iQI5I0lkQAgAALAQAAA4AAAAA&#10;AAAAAQAgAAAAJwEAAGRycy9lMm9Eb2MueG1sUEsFBgAAAAAGAAYAWQEAAKkFAAAAAA==&#10;">
                <v:fill on="t" focussize="0,0"/>
                <v:stroke on="f"/>
                <v:imagedata o:title=""/>
                <o:lock v:ext="edit" aspectratio="f"/>
                <v:textbox inset="0mm,0mm,0mm,0mm">
                  <w:txbxContent>
                    <w:p w14:paraId="0421A75D">
                      <w:pPr>
                        <w:pStyle w:val="64"/>
                        <w:shd w:val="clear" w:color="auto" w:fill="FFFFFF"/>
                        <w:rPr>
                          <w:szCs w:val="52"/>
                        </w:rPr>
                      </w:pPr>
                      <w:r>
                        <w:t>砂石</w:t>
                      </w:r>
                      <w:r>
                        <w:rPr>
                          <w:rFonts w:hint="eastAsia"/>
                        </w:rPr>
                        <w:t>企业信用等级评价规范</w:t>
                      </w:r>
                    </w:p>
                    <w:p w14:paraId="1A1E420D">
                      <w:pPr>
                        <w:pStyle w:val="58"/>
                        <w:rPr>
                          <w:rFonts w:ascii="Times New Roman" w:eastAsia="黑体"/>
                          <w:sz w:val="36"/>
                          <w:szCs w:val="36"/>
                        </w:rPr>
                      </w:pPr>
                      <w:r>
                        <w:rPr>
                          <w:rFonts w:ascii="Times New Roman" w:eastAsia="黑体"/>
                          <w:sz w:val="36"/>
                          <w:szCs w:val="36"/>
                        </w:rPr>
                        <w:t xml:space="preserve">Enterprise credit grade assessment norm for aggregates industry </w:t>
                      </w:r>
                    </w:p>
                    <w:p w14:paraId="15D8A718">
                      <w:pPr>
                        <w:spacing w:before="180" w:line="180" w:lineRule="exact"/>
                        <w:jc w:val="center"/>
                        <w:rPr>
                          <w:rFonts w:hint="eastAsia" w:ascii="黑体" w:hAnsi="黑体" w:eastAsia="黑体"/>
                          <w:sz w:val="28"/>
                          <w:szCs w:val="28"/>
                        </w:rPr>
                      </w:pPr>
                      <w:r>
                        <w:rPr>
                          <w:rFonts w:hint="eastAsia" w:ascii="黑体" w:hAnsi="黑体" w:eastAsia="黑体"/>
                          <w:sz w:val="28"/>
                          <w:szCs w:val="28"/>
                        </w:rPr>
                        <w:t>（</w:t>
                      </w:r>
                      <w:r>
                        <w:rPr>
                          <w:rFonts w:hint="eastAsia" w:ascii="黑体" w:hAnsi="黑体" w:eastAsia="黑体"/>
                          <w:sz w:val="28"/>
                          <w:szCs w:val="28"/>
                          <w:lang w:val="en-US" w:eastAsia="zh-CN"/>
                        </w:rPr>
                        <w:t>征求意见</w:t>
                      </w:r>
                      <w:r>
                        <w:rPr>
                          <w:rFonts w:hint="eastAsia" w:ascii="黑体" w:hAnsi="黑体" w:eastAsia="黑体"/>
                          <w:sz w:val="28"/>
                          <w:szCs w:val="28"/>
                        </w:rPr>
                        <w:t>稿）</w:t>
                      </w:r>
                    </w:p>
                    <w:p w14:paraId="338F0A4D">
                      <w:pPr>
                        <w:spacing w:after="156" w:afterLines="50"/>
                        <w:jc w:val="center"/>
                        <w:rPr>
                          <w:rFonts w:hint="eastAsia" w:ascii="黑体" w:hAnsi="黑体" w:eastAsia="黑体"/>
                          <w:sz w:val="28"/>
                          <w:szCs w:val="28"/>
                        </w:rPr>
                      </w:pPr>
                    </w:p>
                    <w:p w14:paraId="118B09DC">
                      <w:pPr>
                        <w:spacing w:after="156" w:afterLines="50"/>
                        <w:jc w:val="center"/>
                        <w:rPr>
                          <w:rFonts w:hint="eastAsia" w:ascii="黑体" w:hAnsi="黑体" w:eastAsia="黑体"/>
                          <w:sz w:val="28"/>
                          <w:szCs w:val="28"/>
                        </w:rPr>
                      </w:pPr>
                    </w:p>
                    <w:p w14:paraId="1E060741">
                      <w:pPr>
                        <w:pStyle w:val="83"/>
                        <w:jc w:val="both"/>
                        <w:rPr>
                          <w:rFonts w:ascii="黑体" w:eastAsia="黑体"/>
                          <w:color w:val="FF0000"/>
                          <w:sz w:val="28"/>
                          <w:szCs w:val="28"/>
                        </w:rPr>
                      </w:pPr>
                    </w:p>
                  </w:txbxContent>
                </v:textbox>
                <w10:anchorlock/>
              </v:shape>
            </w:pict>
          </mc:Fallback>
        </mc:AlternateContent>
      </w:r>
      <w:r>
        <mc:AlternateContent>
          <mc:Choice Requires="wps">
            <w:drawing>
              <wp:anchor distT="0" distB="0" distL="114300" distR="114300" simplePos="0" relativeHeight="251660288" behindDoc="0" locked="1" layoutInCell="1" allowOverlap="1">
                <wp:simplePos x="0" y="0"/>
                <wp:positionH relativeFrom="margin">
                  <wp:posOffset>22860</wp:posOffset>
                </wp:positionH>
                <wp:positionV relativeFrom="margin">
                  <wp:posOffset>97155</wp:posOffset>
                </wp:positionV>
                <wp:extent cx="5938520" cy="1271270"/>
                <wp:effectExtent l="0" t="0" r="0" b="0"/>
                <wp:wrapNone/>
                <wp:docPr id="8" name="fmFrame2"/>
                <wp:cNvGraphicFramePr/>
                <a:graphic xmlns:a="http://schemas.openxmlformats.org/drawingml/2006/main">
                  <a:graphicData uri="http://schemas.microsoft.com/office/word/2010/wordprocessingShape">
                    <wps:wsp>
                      <wps:cNvSpPr txBox="1">
                        <a:spLocks noChangeArrowheads="1"/>
                      </wps:cNvSpPr>
                      <wps:spPr bwMode="auto">
                        <a:xfrm>
                          <a:off x="0" y="0"/>
                          <a:ext cx="5938520" cy="1271270"/>
                        </a:xfrm>
                        <a:prstGeom prst="rect">
                          <a:avLst/>
                        </a:prstGeom>
                        <a:solidFill>
                          <a:srgbClr val="FFFFFF"/>
                        </a:solidFill>
                        <a:ln>
                          <a:noFill/>
                        </a:ln>
                      </wps:spPr>
                      <wps:txbx>
                        <w:txbxContent>
                          <w:p w14:paraId="06F7C39E">
                            <w:pPr>
                              <w:pStyle w:val="91"/>
                              <w:widowControl/>
                              <w:shd w:val="clear" w:color="auto" w:fill="FFFFFF"/>
                              <w:kinsoku/>
                              <w:overflowPunct/>
                              <w:autoSpaceDE/>
                              <w:autoSpaceDN/>
                              <w:adjustRightInd/>
                              <w:spacing w:before="0" w:line="360" w:lineRule="auto"/>
                              <w:jc w:val="center"/>
                              <w:textAlignment w:val="auto"/>
                              <w:rPr>
                                <w:rFonts w:hint="eastAsia" w:ascii="黑体" w:hAnsi="黑体" w:eastAsia="黑体"/>
                                <w:sz w:val="84"/>
                                <w:szCs w:val="84"/>
                              </w:rPr>
                            </w:pPr>
                            <w:r>
                              <w:rPr>
                                <w:rFonts w:hint="eastAsia" w:ascii="黑体" w:hAnsi="黑体" w:eastAsia="黑体"/>
                                <w:sz w:val="84"/>
                                <w:szCs w:val="84"/>
                              </w:rPr>
                              <w:t>团   体   标   准</w:t>
                            </w:r>
                          </w:p>
                          <w:p w14:paraId="6A182B6F">
                            <w:pPr>
                              <w:pStyle w:val="91"/>
                              <w:widowControl/>
                              <w:shd w:val="clear" w:color="auto" w:fill="FFFFFF"/>
                              <w:kinsoku/>
                              <w:overflowPunct/>
                              <w:autoSpaceDE/>
                              <w:autoSpaceDN/>
                              <w:adjustRightInd/>
                              <w:spacing w:before="0" w:line="360" w:lineRule="auto"/>
                              <w:textAlignment w:val="auto"/>
                              <w:rPr>
                                <w:rFonts w:hint="eastAsia" w:ascii="黑体" w:hAnsi="黑体" w:eastAsia="黑体"/>
                                <w:szCs w:val="28"/>
                              </w:rPr>
                            </w:pPr>
                          </w:p>
                          <w:p w14:paraId="3C473384">
                            <w:pPr>
                              <w:pStyle w:val="91"/>
                              <w:widowControl/>
                              <w:shd w:val="clear" w:color="auto" w:fill="FFFFFF"/>
                              <w:kinsoku/>
                              <w:overflowPunct/>
                              <w:autoSpaceDE/>
                              <w:autoSpaceDN/>
                              <w:adjustRightInd/>
                              <w:spacing w:before="312" w:beforeLines="100" w:line="360" w:lineRule="auto"/>
                              <w:textAlignment w:val="auto"/>
                              <w:rPr>
                                <w:rFonts w:hint="eastAsia" w:ascii="宋体" w:hAnsi="宋体"/>
                                <w:szCs w:val="28"/>
                              </w:rPr>
                            </w:pPr>
                          </w:p>
                          <w:p w14:paraId="129021E7">
                            <w:pPr>
                              <w:pStyle w:val="91"/>
                              <w:widowControl/>
                              <w:shd w:val="clear" w:color="auto" w:fill="FFFFFF"/>
                              <w:kinsoku/>
                              <w:overflowPunct/>
                              <w:autoSpaceDE/>
                              <w:autoSpaceDN/>
                              <w:adjustRightInd/>
                              <w:spacing w:before="0" w:line="360" w:lineRule="auto"/>
                              <w:textAlignment w:val="auto"/>
                              <w:rPr>
                                <w:szCs w:val="28"/>
                              </w:rPr>
                            </w:pPr>
                          </w:p>
                          <w:p w14:paraId="3E715151">
                            <w:pPr>
                              <w:pStyle w:val="91"/>
                              <w:widowControl/>
                              <w:shd w:val="clear" w:color="auto" w:fill="FFFFFF"/>
                              <w:kinsoku/>
                              <w:overflowPunct/>
                              <w:autoSpaceDE/>
                              <w:autoSpaceDN/>
                              <w:adjustRightInd/>
                              <w:spacing w:before="0" w:line="360" w:lineRule="auto"/>
                              <w:textAlignment w:val="auto"/>
                              <w:rPr>
                                <w:rFonts w:hint="eastAsia" w:ascii="黑体" w:hAnsi="黑体" w:eastAsia="黑体"/>
                                <w:szCs w:val="28"/>
                              </w:rPr>
                            </w:pP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1.8pt;margin-top:7.65pt;height:100.1pt;width:467.6pt;mso-position-horizontal-relative:margin;mso-position-vertical-relative:margin;z-index:251660288;mso-width-relative:page;mso-height-relative:page;" fillcolor="#FFFFFF" filled="t" stroked="f" coordsize="21600,21600" o:gfxdata="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Xzs32AAAAAgBAAAPAAAAAAAAAAEA&#10;IAAAACIAAABkcnMvZG93bnJldi54bWxQSwECFAAUAAAACACHTuJABF9dmQ8CAAAsBAAADgAAAAAA&#10;AAABACAAAAAnAQAAZHJzL2Uyb0RvYy54bWxQSwUGAAAAAAYABgBZAQAAqAUAAAAA&#10;">
                <v:fill on="t" focussize="0,0"/>
                <v:stroke on="f"/>
                <v:imagedata o:title=""/>
                <o:lock v:ext="edit" aspectratio="f"/>
                <v:textbox inset="0mm,0mm,0mm,0mm">
                  <w:txbxContent>
                    <w:p w14:paraId="06F7C39E">
                      <w:pPr>
                        <w:pStyle w:val="91"/>
                        <w:widowControl/>
                        <w:shd w:val="clear" w:color="auto" w:fill="FFFFFF"/>
                        <w:kinsoku/>
                        <w:overflowPunct/>
                        <w:autoSpaceDE/>
                        <w:autoSpaceDN/>
                        <w:adjustRightInd/>
                        <w:spacing w:before="0" w:line="360" w:lineRule="auto"/>
                        <w:jc w:val="center"/>
                        <w:textAlignment w:val="auto"/>
                        <w:rPr>
                          <w:rFonts w:hint="eastAsia" w:ascii="黑体" w:hAnsi="黑体" w:eastAsia="黑体"/>
                          <w:sz w:val="84"/>
                          <w:szCs w:val="84"/>
                        </w:rPr>
                      </w:pPr>
                      <w:r>
                        <w:rPr>
                          <w:rFonts w:hint="eastAsia" w:ascii="黑体" w:hAnsi="黑体" w:eastAsia="黑体"/>
                          <w:sz w:val="84"/>
                          <w:szCs w:val="84"/>
                        </w:rPr>
                        <w:t>团   体   标   准</w:t>
                      </w:r>
                    </w:p>
                    <w:p w14:paraId="6A182B6F">
                      <w:pPr>
                        <w:pStyle w:val="91"/>
                        <w:widowControl/>
                        <w:shd w:val="clear" w:color="auto" w:fill="FFFFFF"/>
                        <w:kinsoku/>
                        <w:overflowPunct/>
                        <w:autoSpaceDE/>
                        <w:autoSpaceDN/>
                        <w:adjustRightInd/>
                        <w:spacing w:before="0" w:line="360" w:lineRule="auto"/>
                        <w:textAlignment w:val="auto"/>
                        <w:rPr>
                          <w:rFonts w:hint="eastAsia" w:ascii="黑体" w:hAnsi="黑体" w:eastAsia="黑体"/>
                          <w:szCs w:val="28"/>
                        </w:rPr>
                      </w:pPr>
                    </w:p>
                    <w:p w14:paraId="3C473384">
                      <w:pPr>
                        <w:pStyle w:val="91"/>
                        <w:widowControl/>
                        <w:shd w:val="clear" w:color="auto" w:fill="FFFFFF"/>
                        <w:kinsoku/>
                        <w:overflowPunct/>
                        <w:autoSpaceDE/>
                        <w:autoSpaceDN/>
                        <w:adjustRightInd/>
                        <w:spacing w:before="312" w:beforeLines="100" w:line="360" w:lineRule="auto"/>
                        <w:textAlignment w:val="auto"/>
                        <w:rPr>
                          <w:rFonts w:hint="eastAsia" w:ascii="宋体" w:hAnsi="宋体"/>
                          <w:szCs w:val="28"/>
                        </w:rPr>
                      </w:pPr>
                    </w:p>
                    <w:p w14:paraId="129021E7">
                      <w:pPr>
                        <w:pStyle w:val="91"/>
                        <w:widowControl/>
                        <w:shd w:val="clear" w:color="auto" w:fill="FFFFFF"/>
                        <w:kinsoku/>
                        <w:overflowPunct/>
                        <w:autoSpaceDE/>
                        <w:autoSpaceDN/>
                        <w:adjustRightInd/>
                        <w:spacing w:before="0" w:line="360" w:lineRule="auto"/>
                        <w:textAlignment w:val="auto"/>
                        <w:rPr>
                          <w:szCs w:val="28"/>
                        </w:rPr>
                      </w:pPr>
                    </w:p>
                    <w:p w14:paraId="3E715151">
                      <w:pPr>
                        <w:pStyle w:val="91"/>
                        <w:widowControl/>
                        <w:shd w:val="clear" w:color="auto" w:fill="FFFFFF"/>
                        <w:kinsoku/>
                        <w:overflowPunct/>
                        <w:autoSpaceDE/>
                        <w:autoSpaceDN/>
                        <w:adjustRightInd/>
                        <w:spacing w:before="0" w:line="360" w:lineRule="auto"/>
                        <w:textAlignment w:val="auto"/>
                        <w:rPr>
                          <w:rFonts w:hint="eastAsia" w:ascii="黑体" w:hAnsi="黑体" w:eastAsia="黑体"/>
                          <w:szCs w:val="28"/>
                        </w:rPr>
                      </w:pP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-951865</wp:posOffset>
                </wp:positionV>
                <wp:extent cx="2540000" cy="657860"/>
                <wp:effectExtent l="0" t="3810" r="0" b="0"/>
                <wp:wrapNone/>
                <wp:docPr id="6" name="fmFrame1"/>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wps:spPr>
                      <wps:txbx>
                        <w:txbxContent>
                          <w:p w14:paraId="46C0CCE9">
                            <w:pPr>
                              <w:pStyle w:val="67"/>
                            </w:pPr>
                          </w:p>
                        </w:txbxContent>
                      </wps:txbx>
                      <wps:bodyPr rot="0" vert="horz" wrap="square" lIns="0" tIns="0" rIns="0" bIns="0" anchor="t" anchorCtr="0" upright="1">
                        <a:noAutofit/>
                      </wps:bodyPr>
                    </wps:wsp>
                  </a:graphicData>
                </a:graphic>
              </wp:anchor>
            </w:drawing>
          </mc:Choice>
          <mc:Fallback>
            <w:pict>
              <v:shape id="fmFrame1" o:spid="_x0000_s1026" o:spt="202" type="#_x0000_t202" style="position:absolute;left:0pt;margin-left:0pt;margin-top:-74.95pt;height:51.8pt;width:200pt;mso-position-horizontal-relative:margin;mso-position-vertical-relative:margin;z-index:251659264;mso-width-relative:page;mso-height-relative:page;" fillcolor="#FFFFFF" filled="t" stroked="f" coordsize="21600,21600" o:gfxdata="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q1e22AAAAAkBAAAPAAAAAAAAAAEA&#10;IAAAACIAAABkcnMvZG93bnJldi54bWxQSwECFAAUAAAACACHTuJAwSAUIQ8CAAArBAAADgAAAAAA&#10;AAABACAAAAAnAQAAZHJzL2Uyb0RvYy54bWxQSwUGAAAAAAYABgBZAQAAqAUAAAAA&#10;">
                <v:fill on="t" focussize="0,0"/>
                <v:stroke on="f"/>
                <v:imagedata o:title=""/>
                <o:lock v:ext="edit" aspectratio="f"/>
                <v:textbox inset="0mm,0mm,0mm,0mm">
                  <w:txbxContent>
                    <w:p w14:paraId="46C0CCE9">
                      <w:pPr>
                        <w:pStyle w:val="67"/>
                      </w:pPr>
                    </w:p>
                  </w:txbxContent>
                </v:textbox>
                <w10:anchorlock/>
              </v:shape>
            </w:pict>
          </mc:Fallback>
        </mc:AlternateContent>
      </w:r>
    </w:p>
    <w:bookmarkEnd w:id="0"/>
    <w:p w14:paraId="3DEA91FF">
      <w:pPr>
        <w:pageBreakBefore/>
        <w:widowControl/>
        <w:spacing w:line="357" w:lineRule="atLeast"/>
        <w:jc w:val="center"/>
        <w:textAlignment w:val="baseline"/>
        <w:rPr>
          <w:rFonts w:ascii="黑体" w:eastAsia="黑体"/>
          <w:kern w:val="0"/>
          <w:sz w:val="32"/>
          <w:szCs w:val="32"/>
          <w:u w:color="000000"/>
        </w:rPr>
      </w:pPr>
      <w:r>
        <w:rPr>
          <w:rFonts w:ascii="黑体" w:eastAsia="黑体"/>
          <w:kern w:val="0"/>
          <w:sz w:val="32"/>
          <w:szCs w:val="32"/>
          <w:u w:color="000000"/>
        </w:rPr>
        <w:t>目</w:t>
      </w:r>
      <w:r>
        <w:rPr>
          <w:rFonts w:hint="eastAsia"/>
        </w:rPr>
        <w:t xml:space="preserve">    </w:t>
      </w:r>
      <w:r>
        <w:rPr>
          <w:rFonts w:hint="eastAsia" w:ascii="黑体" w:eastAsia="黑体"/>
          <w:kern w:val="0"/>
          <w:sz w:val="32"/>
          <w:szCs w:val="32"/>
          <w:u w:color="000000"/>
        </w:rPr>
        <w:t>次</w:t>
      </w:r>
    </w:p>
    <w:p w14:paraId="6AEFAFB0">
      <w:pPr>
        <w:pStyle w:val="17"/>
        <w:tabs>
          <w:tab w:val="right" w:leader="dot" w:pos="9345"/>
        </w:tabs>
        <w:rPr>
          <w:rFonts w:hint="eastAsia" w:hAnsi="宋体"/>
        </w:rPr>
      </w:pPr>
    </w:p>
    <w:p w14:paraId="55524FD5">
      <w:pPr>
        <w:pStyle w:val="17"/>
        <w:tabs>
          <w:tab w:val="right" w:leader="dot" w:pos="9345"/>
        </w:tabs>
        <w:rPr>
          <w:rFonts w:hint="eastAsia" w:asciiTheme="minorEastAsia" w:hAnsiTheme="minorEastAsia" w:eastAsiaTheme="minorEastAsia" w:cstheme="minorBidi"/>
          <w:kern w:val="2"/>
          <w:szCs w:val="22"/>
          <w14:ligatures w14:val="standardContextua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TOC \o "1-2" \h \z \u </w:instrText>
      </w:r>
      <w:r>
        <w:rPr>
          <w:rFonts w:asciiTheme="minorEastAsia" w:hAnsiTheme="minorEastAsia" w:eastAsiaTheme="minorEastAsia"/>
          <w:color w:val="000000" w:themeColor="text1"/>
          <w14:textFill>
            <w14:solidFill>
              <w14:schemeClr w14:val="tx1"/>
            </w14:solidFill>
          </w14:textFill>
        </w:rPr>
        <w:fldChar w:fldCharType="separate"/>
      </w:r>
      <w:r>
        <w:fldChar w:fldCharType="begin"/>
      </w:r>
      <w:r>
        <w:instrText xml:space="preserve"> HYPERLINK \l "_Toc175673352" </w:instrText>
      </w:r>
      <w:r>
        <w:fldChar w:fldCharType="separate"/>
      </w:r>
      <w:r>
        <w:rPr>
          <w:rStyle w:val="41"/>
          <w:rFonts w:hint="eastAsia" w:asciiTheme="minorEastAsia" w:hAnsiTheme="minorEastAsia" w:eastAsiaTheme="minorEastAsia"/>
        </w:rPr>
        <w:t>前  言</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_Toc175673352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II</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1CD9271">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"_Toc175673353" </w:instrText>
      </w:r>
      <w:r>
        <w:fldChar w:fldCharType="separate"/>
      </w:r>
      <w:r>
        <w:rPr>
          <w:rStyle w:val="41"/>
          <w:rFonts w:hint="eastAsia" w:asciiTheme="minorEastAsia" w:hAnsiTheme="minorEastAsia" w:eastAsiaTheme="minorEastAsia"/>
        </w:rPr>
        <w:t>1  范围</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_Toc175673353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677E0C0">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"_Toc175673354" </w:instrText>
      </w:r>
      <w:r>
        <w:fldChar w:fldCharType="separate"/>
      </w:r>
      <w:r>
        <w:rPr>
          <w:rStyle w:val="41"/>
          <w:rFonts w:hint="eastAsia" w:asciiTheme="minorEastAsia" w:hAnsiTheme="minorEastAsia" w:eastAsiaTheme="minorEastAsia"/>
        </w:rPr>
        <w:t>2  规范性引用文件</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_Toc175673354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4FF60E93">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"_Toc175673355" </w:instrText>
      </w:r>
      <w:r>
        <w:fldChar w:fldCharType="separate"/>
      </w:r>
      <w:r>
        <w:rPr>
          <w:rStyle w:val="41"/>
          <w:rFonts w:hint="eastAsia" w:asciiTheme="minorEastAsia" w:hAnsiTheme="minorEastAsia" w:eastAsiaTheme="minorEastAsia"/>
        </w:rPr>
        <w:t>3  术语和定义</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_Toc175673355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2D99FBAA">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"_Toc175673356" </w:instrText>
      </w:r>
      <w:r>
        <w:fldChar w:fldCharType="separate"/>
      </w:r>
      <w:r>
        <w:rPr>
          <w:rStyle w:val="41"/>
          <w:rFonts w:hint="eastAsia" w:asciiTheme="minorEastAsia" w:hAnsiTheme="minorEastAsia" w:eastAsiaTheme="minorEastAsia"/>
          <w:lang w:val="fr-FR"/>
        </w:rPr>
        <w:t>3.1</w:t>
      </w:r>
      <w:r>
        <w:rPr>
          <w:rStyle w:val="41"/>
          <w:rFonts w:hint="eastAsia" w:asciiTheme="minorEastAsia" w:hAnsiTheme="minorEastAsia" w:eastAsiaTheme="minorEastAsia"/>
        </w:rPr>
        <w:t xml:space="preserve">  </w:t>
      </w:r>
      <w:r>
        <w:rPr>
          <w:rStyle w:val="41"/>
          <w:rFonts w:hint="eastAsia" w:asciiTheme="minorEastAsia" w:hAnsiTheme="minorEastAsia" w:eastAsiaTheme="minorEastAsia"/>
          <w:lang w:val="fr-FR"/>
        </w:rPr>
        <w:t>砂石企业</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_Toc175673356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07586F92">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"_Toc175673357" </w:instrText>
      </w:r>
      <w:r>
        <w:fldChar w:fldCharType="separate"/>
      </w:r>
      <w:r>
        <w:rPr>
          <w:rStyle w:val="41"/>
          <w:rFonts w:hint="eastAsia" w:asciiTheme="minorEastAsia" w:hAnsiTheme="minorEastAsia" w:eastAsiaTheme="minorEastAsia"/>
          <w:lang w:val="fr-FR"/>
        </w:rPr>
        <w:t>3.2  企业信用评价</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_Toc175673357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66BCDA1A">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"_Toc175673358" </w:instrText>
      </w:r>
      <w:r>
        <w:fldChar w:fldCharType="separate"/>
      </w:r>
      <w:r>
        <w:rPr>
          <w:rStyle w:val="41"/>
          <w:rFonts w:hint="eastAsia" w:asciiTheme="minorEastAsia" w:hAnsiTheme="minorEastAsia" w:eastAsiaTheme="minorEastAsia"/>
          <w:lang w:val="fr-FR"/>
        </w:rPr>
        <w:t>3.3  指标体系</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_Toc175673358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7607FBC5">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"_Toc175673359" </w:instrText>
      </w:r>
      <w:r>
        <w:fldChar w:fldCharType="separate"/>
      </w:r>
      <w:r>
        <w:rPr>
          <w:rStyle w:val="41"/>
          <w:rFonts w:hint="eastAsia" w:asciiTheme="minorEastAsia" w:hAnsiTheme="minorEastAsia" w:eastAsiaTheme="minorEastAsia"/>
          <w:lang w:val="fr-FR"/>
        </w:rPr>
        <w:t>3.4  信用等级</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_Toc175673359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2B52BD16">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"_Toc175673360" </w:instrText>
      </w:r>
      <w:r>
        <w:fldChar w:fldCharType="separate"/>
      </w:r>
      <w:r>
        <w:rPr>
          <w:rStyle w:val="41"/>
          <w:rFonts w:hint="eastAsia" w:asciiTheme="minorEastAsia" w:hAnsiTheme="minorEastAsia" w:eastAsiaTheme="minorEastAsia"/>
        </w:rPr>
        <w:t>4  基本原则</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_Toc175673360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202CCD09">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"_Toc175673361" </w:instrText>
      </w:r>
      <w:r>
        <w:fldChar w:fldCharType="separate"/>
      </w:r>
      <w:r>
        <w:rPr>
          <w:rStyle w:val="41"/>
          <w:rFonts w:hint="eastAsia" w:asciiTheme="minorEastAsia" w:hAnsiTheme="minorEastAsia" w:eastAsiaTheme="minorEastAsia"/>
        </w:rPr>
        <w:t>5  评价指标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_Toc175673361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71C29627">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"_Toc175673362" </w:instrText>
      </w:r>
      <w:r>
        <w:fldChar w:fldCharType="separate"/>
      </w:r>
      <w:r>
        <w:rPr>
          <w:rStyle w:val="41"/>
          <w:rFonts w:hint="eastAsia" w:asciiTheme="minorEastAsia" w:hAnsiTheme="minorEastAsia" w:eastAsiaTheme="minorEastAsia"/>
          <w:lang w:val="fr-FR"/>
        </w:rPr>
        <w:t xml:space="preserve">5.1 </w:t>
      </w:r>
      <w:r>
        <w:rPr>
          <w:rStyle w:val="41"/>
          <w:rFonts w:hint="eastAsia" w:asciiTheme="minorEastAsia" w:hAnsiTheme="minorEastAsia" w:eastAsiaTheme="minorEastAsia"/>
        </w:rPr>
        <w:t xml:space="preserve"> </w:t>
      </w:r>
      <w:r>
        <w:rPr>
          <w:rStyle w:val="41"/>
          <w:rFonts w:hint="eastAsia" w:asciiTheme="minorEastAsia" w:hAnsiTheme="minorEastAsia" w:eastAsiaTheme="minorEastAsia"/>
          <w:lang w:val="fr-FR"/>
        </w:rPr>
        <w:t>总则</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_Toc175673362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10745BC">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"_Toc175673363" </w:instrText>
      </w:r>
      <w:r>
        <w:fldChar w:fldCharType="separate"/>
      </w:r>
      <w:r>
        <w:rPr>
          <w:rStyle w:val="41"/>
          <w:rFonts w:hint="eastAsia" w:asciiTheme="minorEastAsia" w:hAnsiTheme="minorEastAsia" w:eastAsiaTheme="minorEastAsia"/>
          <w:lang w:val="fr-FR"/>
        </w:rPr>
        <w:t xml:space="preserve">5.2 </w:t>
      </w:r>
      <w:r>
        <w:rPr>
          <w:rStyle w:val="41"/>
          <w:rFonts w:hint="eastAsia" w:asciiTheme="minorEastAsia" w:hAnsiTheme="minorEastAsia" w:eastAsiaTheme="minorEastAsia"/>
        </w:rPr>
        <w:t xml:space="preserve"> </w:t>
      </w:r>
      <w:r>
        <w:rPr>
          <w:rStyle w:val="41"/>
          <w:rFonts w:hint="eastAsia" w:asciiTheme="minorEastAsia" w:hAnsiTheme="minorEastAsia" w:eastAsiaTheme="minorEastAsia"/>
          <w:lang w:val="fr-FR"/>
        </w:rPr>
        <w:t>信用等级评价指标体系</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_Toc175673363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1F0B28F9">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"_Toc175673364" </w:instrText>
      </w:r>
      <w:r>
        <w:fldChar w:fldCharType="separate"/>
      </w:r>
      <w:r>
        <w:rPr>
          <w:rStyle w:val="41"/>
          <w:rFonts w:hint="eastAsia" w:asciiTheme="minorEastAsia" w:hAnsiTheme="minorEastAsia" w:eastAsiaTheme="minorEastAsia"/>
          <w:lang w:val="fr-FR"/>
        </w:rPr>
        <w:t>5.2.</w:t>
      </w:r>
      <w:r>
        <w:rPr>
          <w:rStyle w:val="41"/>
          <w:rFonts w:hint="eastAsia" w:asciiTheme="minorEastAsia" w:hAnsiTheme="minorEastAsia" w:eastAsiaTheme="minorEastAsia"/>
        </w:rPr>
        <w:t>1</w:t>
      </w:r>
      <w:r>
        <w:rPr>
          <w:rStyle w:val="41"/>
          <w:rFonts w:hint="eastAsia" w:asciiTheme="minorEastAsia" w:hAnsiTheme="minorEastAsia" w:eastAsiaTheme="minorEastAsia"/>
          <w:lang w:val="fr-FR"/>
        </w:rPr>
        <w:t xml:space="preserve"> </w:t>
      </w:r>
      <w:r>
        <w:rPr>
          <w:rStyle w:val="41"/>
          <w:rFonts w:hint="eastAsia" w:asciiTheme="minorEastAsia" w:hAnsiTheme="minorEastAsia" w:eastAsiaTheme="minorEastAsia"/>
        </w:rPr>
        <w:t xml:space="preserve"> </w:t>
      </w:r>
      <w:r>
        <w:rPr>
          <w:rStyle w:val="41"/>
          <w:rFonts w:hint="eastAsia" w:asciiTheme="minorEastAsia" w:hAnsiTheme="minorEastAsia" w:eastAsiaTheme="minorEastAsia"/>
          <w:lang w:val="fr-FR"/>
        </w:rPr>
        <w:t>信用等级评价指标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_Toc175673364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0A2F8C9C">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"_Toc175673365" </w:instrText>
      </w:r>
      <w:r>
        <w:fldChar w:fldCharType="separate"/>
      </w:r>
      <w:r>
        <w:rPr>
          <w:rStyle w:val="41"/>
          <w:rFonts w:hint="eastAsia" w:asciiTheme="minorEastAsia" w:hAnsiTheme="minorEastAsia" w:eastAsiaTheme="minorEastAsia"/>
          <w:lang w:val="fr-FR"/>
        </w:rPr>
        <w:t>5.2.</w:t>
      </w:r>
      <w:r>
        <w:rPr>
          <w:rStyle w:val="41"/>
          <w:rFonts w:hint="eastAsia" w:asciiTheme="minorEastAsia" w:hAnsiTheme="minorEastAsia" w:eastAsiaTheme="minorEastAsia"/>
        </w:rPr>
        <w:t xml:space="preserve">2 </w:t>
      </w:r>
      <w:r>
        <w:rPr>
          <w:rStyle w:val="41"/>
          <w:rFonts w:hint="eastAsia" w:asciiTheme="minorEastAsia" w:hAnsiTheme="minorEastAsia" w:eastAsiaTheme="minorEastAsia"/>
          <w:lang w:val="fr-FR"/>
        </w:rPr>
        <w:t xml:space="preserve"> 基础信用指标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_Toc175673365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D320055">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"_Toc175673366" </w:instrText>
      </w:r>
      <w:r>
        <w:fldChar w:fldCharType="separate"/>
      </w:r>
      <w:r>
        <w:rPr>
          <w:rStyle w:val="41"/>
          <w:rFonts w:hint="eastAsia" w:asciiTheme="minorEastAsia" w:hAnsiTheme="minorEastAsia" w:eastAsiaTheme="minorEastAsia"/>
          <w:lang w:val="fr-FR"/>
        </w:rPr>
        <w:t>5.2.</w:t>
      </w:r>
      <w:r>
        <w:rPr>
          <w:rStyle w:val="41"/>
          <w:rFonts w:hint="eastAsia" w:asciiTheme="minorEastAsia" w:hAnsiTheme="minorEastAsia" w:eastAsiaTheme="minorEastAsia"/>
        </w:rPr>
        <w:t xml:space="preserve">3 </w:t>
      </w:r>
      <w:r>
        <w:rPr>
          <w:rStyle w:val="41"/>
          <w:rFonts w:hint="eastAsia" w:asciiTheme="minorEastAsia" w:hAnsiTheme="minorEastAsia" w:eastAsiaTheme="minorEastAsia"/>
          <w:lang w:val="fr-FR"/>
        </w:rPr>
        <w:t xml:space="preserve"> 竞争力指标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_Toc175673366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6243978A">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"_Toc175673367" </w:instrText>
      </w:r>
      <w:r>
        <w:fldChar w:fldCharType="separate"/>
      </w:r>
      <w:r>
        <w:rPr>
          <w:rStyle w:val="41"/>
          <w:rFonts w:hint="eastAsia" w:asciiTheme="minorEastAsia" w:hAnsiTheme="minorEastAsia" w:eastAsiaTheme="minorEastAsia"/>
          <w:lang w:val="fr-FR"/>
        </w:rPr>
        <w:t>5.2.</w:t>
      </w:r>
      <w:r>
        <w:rPr>
          <w:rStyle w:val="41"/>
          <w:rFonts w:hint="eastAsia" w:asciiTheme="minorEastAsia" w:hAnsiTheme="minorEastAsia" w:eastAsiaTheme="minorEastAsia"/>
        </w:rPr>
        <w:t>4</w:t>
      </w:r>
      <w:r>
        <w:rPr>
          <w:rStyle w:val="41"/>
          <w:rFonts w:hint="eastAsia" w:asciiTheme="minorEastAsia" w:hAnsiTheme="minorEastAsia" w:eastAsiaTheme="minorEastAsia"/>
          <w:lang w:val="fr-FR"/>
        </w:rPr>
        <w:t xml:space="preserve"> </w:t>
      </w:r>
      <w:r>
        <w:rPr>
          <w:rStyle w:val="41"/>
          <w:rFonts w:hint="eastAsia" w:asciiTheme="minorEastAsia" w:hAnsiTheme="minorEastAsia" w:eastAsiaTheme="minorEastAsia"/>
        </w:rPr>
        <w:t xml:space="preserve"> 财务实力指标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_Toc175673367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6198118">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"_Toc175673368" </w:instrText>
      </w:r>
      <w:r>
        <w:fldChar w:fldCharType="separate"/>
      </w:r>
      <w:r>
        <w:rPr>
          <w:rStyle w:val="41"/>
          <w:rFonts w:hint="eastAsia" w:asciiTheme="minorEastAsia" w:hAnsiTheme="minorEastAsia" w:eastAsiaTheme="minorEastAsia"/>
        </w:rPr>
        <w:t xml:space="preserve">5.2.5  </w:t>
      </w:r>
      <w:r>
        <w:rPr>
          <w:rStyle w:val="41"/>
          <w:rFonts w:hint="eastAsia" w:asciiTheme="minorEastAsia" w:hAnsiTheme="minorEastAsia" w:eastAsiaTheme="minorEastAsia"/>
          <w:lang w:val="fr-FR"/>
        </w:rPr>
        <w:t>社会责任指标</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_Toc175673368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2B7A4824">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"_Toc175673369" </w:instrText>
      </w:r>
      <w:r>
        <w:fldChar w:fldCharType="separate"/>
      </w:r>
      <w:r>
        <w:rPr>
          <w:rStyle w:val="41"/>
          <w:rFonts w:hint="eastAsia" w:asciiTheme="minorEastAsia" w:hAnsiTheme="minorEastAsia" w:eastAsiaTheme="minorEastAsia"/>
        </w:rPr>
        <w:t>6  其他评价内容</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_Toc175673369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2</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0D2E5F6E">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"_Toc175673370" </w:instrText>
      </w:r>
      <w:r>
        <w:fldChar w:fldCharType="separate"/>
      </w:r>
      <w:r>
        <w:rPr>
          <w:rStyle w:val="41"/>
          <w:rFonts w:hint="eastAsia" w:asciiTheme="minorEastAsia" w:hAnsiTheme="minorEastAsia" w:eastAsiaTheme="minorEastAsia"/>
        </w:rPr>
        <w:t>7  信用等级划分</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_Toc175673370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3</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470FA3FA">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"_Toc175673371" </w:instrText>
      </w:r>
      <w:r>
        <w:fldChar w:fldCharType="separate"/>
      </w:r>
      <w:r>
        <w:rPr>
          <w:rStyle w:val="41"/>
          <w:rFonts w:hint="eastAsia" w:asciiTheme="minorEastAsia" w:hAnsiTheme="minorEastAsia" w:eastAsiaTheme="minorEastAsia"/>
          <w:lang w:val="fr-FR"/>
        </w:rPr>
        <w:t>7.1</w:t>
      </w:r>
      <w:r>
        <w:rPr>
          <w:rStyle w:val="41"/>
          <w:rFonts w:hint="eastAsia" w:asciiTheme="minorEastAsia" w:hAnsiTheme="minorEastAsia" w:eastAsiaTheme="minorEastAsia"/>
        </w:rPr>
        <w:t xml:space="preserve">  </w:t>
      </w:r>
      <w:r>
        <w:rPr>
          <w:rStyle w:val="41"/>
          <w:rFonts w:hint="eastAsia" w:asciiTheme="minorEastAsia" w:hAnsiTheme="minorEastAsia" w:eastAsiaTheme="minorEastAsia"/>
          <w:lang w:val="fr-FR"/>
        </w:rPr>
        <w:t>划分依据</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_Toc175673371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3</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3E127D52">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"_Toc175673372" </w:instrText>
      </w:r>
      <w:r>
        <w:fldChar w:fldCharType="separate"/>
      </w:r>
      <w:r>
        <w:rPr>
          <w:rStyle w:val="41"/>
          <w:rFonts w:hint="eastAsia" w:asciiTheme="minorEastAsia" w:hAnsiTheme="minorEastAsia" w:eastAsiaTheme="minorEastAsia"/>
          <w:lang w:val="fr-FR"/>
        </w:rPr>
        <w:t>7.2</w:t>
      </w:r>
      <w:r>
        <w:rPr>
          <w:rStyle w:val="41"/>
          <w:rFonts w:hint="eastAsia" w:asciiTheme="minorEastAsia" w:hAnsiTheme="minorEastAsia" w:eastAsiaTheme="minorEastAsia"/>
        </w:rPr>
        <w:t xml:space="preserve">  </w:t>
      </w:r>
      <w:r>
        <w:rPr>
          <w:rStyle w:val="41"/>
          <w:rFonts w:hint="eastAsia" w:asciiTheme="minorEastAsia" w:hAnsiTheme="minorEastAsia" w:eastAsiaTheme="minorEastAsia"/>
          <w:lang w:val="fr-FR"/>
        </w:rPr>
        <w:t>划分细则</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_Toc175673372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3</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665E81E9">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"_Toc175673373" </w:instrText>
      </w:r>
      <w:r>
        <w:fldChar w:fldCharType="separate"/>
      </w:r>
      <w:r>
        <w:rPr>
          <w:rStyle w:val="41"/>
          <w:rFonts w:hint="eastAsia" w:asciiTheme="minorEastAsia" w:hAnsiTheme="minorEastAsia" w:eastAsiaTheme="minorEastAsia"/>
        </w:rPr>
        <w:t>8  信用评价结果公示</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_Toc175673373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3</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2AAC0A7">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"_Toc175673374" </w:instrText>
      </w:r>
      <w:r>
        <w:fldChar w:fldCharType="separate"/>
      </w:r>
      <w:r>
        <w:rPr>
          <w:rStyle w:val="41"/>
          <w:rFonts w:hint="eastAsia" w:asciiTheme="minorEastAsia" w:hAnsiTheme="minorEastAsia" w:eastAsiaTheme="minorEastAsia"/>
        </w:rPr>
        <w:t>9  特别说明</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_Toc175673374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3</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7BADADEA">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"_Toc175673375" </w:instrText>
      </w:r>
      <w:r>
        <w:fldChar w:fldCharType="separate"/>
      </w:r>
      <w:r>
        <w:rPr>
          <w:rStyle w:val="41"/>
          <w:rFonts w:hint="eastAsia" w:asciiTheme="minorEastAsia" w:hAnsiTheme="minorEastAsia" w:eastAsiaTheme="minorEastAsia"/>
        </w:rPr>
        <w:t>附   录   A （规范性） 砂石企业信用等级评价指标体系</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_Toc175673375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4</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50F5F5C0">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"_Toc175673376" </w:instrText>
      </w:r>
      <w:r>
        <w:fldChar w:fldCharType="separate"/>
      </w:r>
      <w:r>
        <w:rPr>
          <w:rStyle w:val="41"/>
          <w:rFonts w:hint="eastAsia" w:asciiTheme="minorEastAsia" w:hAnsiTheme="minorEastAsia" w:eastAsiaTheme="minorEastAsia"/>
        </w:rPr>
        <w:t>附   录   B （规范性） 财务实力指标计算方法</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_Toc175673376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13</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06E19774">
      <w:pPr>
        <w:pStyle w:val="17"/>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"_Toc175673377" </w:instrText>
      </w:r>
      <w:r>
        <w:fldChar w:fldCharType="separate"/>
      </w:r>
      <w:r>
        <w:rPr>
          <w:rStyle w:val="41"/>
          <w:rFonts w:hint="eastAsia" w:asciiTheme="minorEastAsia" w:hAnsiTheme="minorEastAsia" w:eastAsiaTheme="minorEastAsia"/>
        </w:rPr>
        <w:t>附   录   C （规范性） 评价等级划分细则</w:t>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_Toc175673377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14</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177BE24F">
      <w:pPr>
        <w:pStyle w:val="16"/>
        <w:tabs>
          <w:tab w:val="right" w:leader="dot" w:pos="9345"/>
        </w:tabs>
        <w:rPr>
          <w:rFonts w:hint="eastAsia" w:asciiTheme="minorEastAsia" w:hAnsiTheme="minorEastAsia" w:eastAsiaTheme="minorEastAsia" w:cstheme="minorBidi"/>
          <w:kern w:val="2"/>
          <w:szCs w:val="22"/>
          <w14:ligatures w14:val="standardContextual"/>
        </w:rPr>
      </w:pPr>
      <w:r>
        <w:fldChar w:fldCharType="begin"/>
      </w:r>
      <w:r>
        <w:instrText xml:space="preserve"> HYPERLINK \l "_Toc175673378" </w:instrText>
      </w:r>
      <w:r>
        <w:fldChar w:fldCharType="separate"/>
      </w:r>
      <w:r>
        <w:rPr>
          <w:rFonts w:hint="eastAsia" w:asciiTheme="minorEastAsia" w:hAnsiTheme="minorEastAsia" w:eastAsiaTheme="minorEastAsia"/>
        </w:rPr>
        <w:tab/>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w:instrText>
      </w:r>
      <w:r>
        <w:rPr>
          <w:rFonts w:asciiTheme="minorEastAsia" w:hAnsiTheme="minorEastAsia" w:eastAsiaTheme="minorEastAsia"/>
        </w:rPr>
        <w:instrText xml:space="preserve">PAGEREF _Toc175673378 \h</w:instrText>
      </w:r>
      <w:r>
        <w:rPr>
          <w:rFonts w:hint="eastAsia" w:asciiTheme="minorEastAsia" w:hAnsiTheme="minorEastAsia" w:eastAsiaTheme="minorEastAsia"/>
        </w:rPr>
        <w:instrText xml:space="preserve"> </w:instrText>
      </w:r>
      <w:r>
        <w:rPr>
          <w:rFonts w:hint="eastAsia" w:asciiTheme="minorEastAsia" w:hAnsiTheme="minorEastAsia" w:eastAsiaTheme="minorEastAsia"/>
        </w:rPr>
        <w:fldChar w:fldCharType="separate"/>
      </w:r>
      <w:r>
        <w:rPr>
          <w:rFonts w:asciiTheme="minorEastAsia" w:hAnsiTheme="minorEastAsia" w:eastAsiaTheme="minorEastAsia"/>
        </w:rPr>
        <w:t>14</w:t>
      </w:r>
      <w:r>
        <w:rPr>
          <w:rFonts w:hint="eastAsia" w:asciiTheme="minorEastAsia" w:hAnsiTheme="minorEastAsia" w:eastAsiaTheme="minorEastAsia"/>
        </w:rPr>
        <w:fldChar w:fldCharType="end"/>
      </w:r>
      <w:r>
        <w:rPr>
          <w:rFonts w:hint="eastAsia" w:asciiTheme="minorEastAsia" w:hAnsiTheme="minorEastAsia" w:eastAsiaTheme="minorEastAsia"/>
        </w:rPr>
        <w:fldChar w:fldCharType="end"/>
      </w:r>
    </w:p>
    <w:p w14:paraId="2DA3FF4C">
      <w:pPr>
        <w:widowControl/>
        <w:jc w:val="left"/>
        <w:rPr>
          <w:rFonts w:ascii="黑体" w:eastAsia="黑体"/>
          <w:kern w:val="0"/>
          <w:sz w:val="32"/>
          <w:szCs w:val="20"/>
        </w:rPr>
      </w:pPr>
      <w:r>
        <w:rPr>
          <w:rFonts w:asciiTheme="minorEastAsia" w:hAnsiTheme="minorEastAsia" w:eastAsiaTheme="minorEastAsia"/>
          <w:color w:val="000000" w:themeColor="text1"/>
          <w14:textFill>
            <w14:solidFill>
              <w14:schemeClr w14:val="tx1"/>
            </w14:solidFill>
          </w14:textFill>
        </w:rPr>
        <w:fldChar w:fldCharType="end"/>
      </w:r>
      <w:r>
        <w:br w:type="page"/>
      </w:r>
    </w:p>
    <w:p w14:paraId="0785D703">
      <w:pPr>
        <w:pStyle w:val="94"/>
        <w:keepNext/>
        <w:keepLines/>
        <w:spacing w:before="374" w:beforeLines="120" w:after="468" w:afterLines="150"/>
      </w:pPr>
      <w:bookmarkStart w:id="1" w:name="_Toc175673352"/>
      <w:r>
        <w:rPr>
          <w:rFonts w:hint="eastAsia"/>
        </w:rPr>
        <w:t>前  言</w:t>
      </w:r>
      <w:bookmarkEnd w:id="1"/>
    </w:p>
    <w:p w14:paraId="34963DBF">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本文件按照</w:t>
      </w:r>
      <w:r>
        <w:rPr>
          <w:rFonts w:hint="eastAsia" w:ascii="Times New Roman" w:eastAsiaTheme="minorEastAsia"/>
        </w:rPr>
        <w:t>GB/T</w:t>
      </w:r>
      <w:r>
        <w:rPr>
          <w:rFonts w:hint="eastAsia" w:asciiTheme="minorEastAsia" w:hAnsiTheme="minorEastAsia" w:eastAsiaTheme="minorEastAsia" w:cstheme="minorEastAsia"/>
        </w:rPr>
        <w:t xml:space="preserve"> 1.1—2020《</w:t>
      </w:r>
      <w:r>
        <w:rPr>
          <w:rFonts w:hint="eastAsia" w:asciiTheme="minorEastAsia" w:hAnsiTheme="minorEastAsia" w:eastAsiaTheme="minorEastAsia" w:cstheme="minorEastAsia"/>
          <w:bCs/>
          <w:szCs w:val="21"/>
          <w:shd w:val="clear" w:color="auto" w:fill="FFFFFF"/>
        </w:rPr>
        <w:t>标准化工作导则  第1部分：标准化文件的结构和起草规则</w:t>
      </w:r>
      <w:r>
        <w:rPr>
          <w:rFonts w:hint="eastAsia" w:asciiTheme="minorEastAsia" w:hAnsiTheme="minorEastAsia" w:eastAsiaTheme="minorEastAsia" w:cstheme="minorEastAsia"/>
        </w:rPr>
        <w:t>》的规定起草。</w:t>
      </w:r>
    </w:p>
    <w:p w14:paraId="02CB8FF3">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请注意本文件的某些内容可能涉及专利。本文件的发布机构不承担识别这些专利的责任。</w:t>
      </w:r>
    </w:p>
    <w:p w14:paraId="565DFC4C">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本文件由中国砂石协会和北京国富泰信用管理有限公司提出。 </w:t>
      </w:r>
    </w:p>
    <w:p w14:paraId="6EA4D117">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本文件由中国砂石协会归口。</w:t>
      </w:r>
    </w:p>
    <w:p w14:paraId="43F65C43">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主要起草单位：中国砂石协会、北京国富泰信用管理有限公司、XXX、XXX。</w:t>
      </w:r>
    </w:p>
    <w:p w14:paraId="5D3E4863">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参与起草单位：XXX、XXX、XXX、XXX、XXX。</w:t>
      </w:r>
    </w:p>
    <w:p w14:paraId="396BD3D5">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起草人：胡幼奕、赵婧、XXX、XXX、XXX 。</w:t>
      </w:r>
    </w:p>
    <w:p w14:paraId="78AA725C">
      <w:pPr>
        <w:pStyle w:val="57"/>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rPr>
        <w:t>本文件为首次发布。</w:t>
      </w:r>
    </w:p>
    <w:p w14:paraId="3DF22769">
      <w:pPr>
        <w:pStyle w:val="57"/>
        <w:ind w:firstLine="420"/>
        <w:rPr>
          <w:rFonts w:hint="eastAsia" w:hAnsi="宋体"/>
        </w:rPr>
      </w:pPr>
    </w:p>
    <w:p w14:paraId="0DDEC7E1">
      <w:pPr>
        <w:pStyle w:val="57"/>
        <w:ind w:firstLine="420"/>
      </w:pPr>
    </w:p>
    <w:p w14:paraId="71B43F21">
      <w:pPr>
        <w:pStyle w:val="57"/>
        <w:ind w:firstLine="420"/>
        <w:sectPr>
          <w:headerReference r:id="rId7" w:type="default"/>
          <w:footerReference r:id="rId9" w:type="default"/>
          <w:headerReference r:id="rId8" w:type="even"/>
          <w:footerReference r:id="rId10" w:type="even"/>
          <w:pgSz w:w="11907" w:h="16839"/>
          <w:pgMar w:top="1985" w:right="1134" w:bottom="1134" w:left="1134" w:header="1418" w:footer="851" w:gutter="284"/>
          <w:pgNumType w:fmt="upperRoman" w:start="1"/>
          <w:cols w:space="720" w:num="1"/>
          <w:docGrid w:type="linesAndChars" w:linePitch="312" w:charSpace="0"/>
        </w:sectPr>
      </w:pPr>
    </w:p>
    <w:p w14:paraId="37862CAD">
      <w:pPr>
        <w:spacing w:before="374" w:beforeLines="120" w:after="468" w:afterLines="150"/>
        <w:jc w:val="center"/>
        <w:rPr>
          <w:rFonts w:hint="eastAsia" w:ascii="黑体" w:hAnsi="黑体" w:eastAsia="黑体"/>
          <w:sz w:val="32"/>
          <w:szCs w:val="32"/>
        </w:rPr>
      </w:pPr>
      <w:bookmarkStart w:id="2" w:name="SectionMark4"/>
      <w:r>
        <w:rPr>
          <w:rFonts w:hint="eastAsia" w:ascii="黑体" w:hAnsi="黑体" w:eastAsia="黑体"/>
          <w:sz w:val="32"/>
          <w:szCs w:val="32"/>
        </w:rPr>
        <w:t>砂石企业信用等级评价规范</w:t>
      </w:r>
    </w:p>
    <w:p w14:paraId="316CB32E">
      <w:pPr>
        <w:pStyle w:val="2"/>
        <w:spacing w:before="0" w:after="0" w:line="720" w:lineRule="auto"/>
        <w:rPr>
          <w:rFonts w:hint="eastAsia" w:ascii="黑体" w:hAnsi="黑体" w:eastAsia="黑体"/>
          <w:b w:val="0"/>
          <w:sz w:val="21"/>
          <w:szCs w:val="21"/>
        </w:rPr>
      </w:pPr>
      <w:bookmarkStart w:id="3" w:name="_Toc173645145"/>
      <w:bookmarkStart w:id="4" w:name="_Toc175673353"/>
      <w:bookmarkStart w:id="5" w:name="_Toc98150826"/>
      <w:r>
        <w:rPr>
          <w:rFonts w:hint="eastAsia" w:ascii="黑体" w:hAnsi="黑体" w:eastAsia="黑体"/>
          <w:b w:val="0"/>
          <w:sz w:val="21"/>
          <w:szCs w:val="21"/>
        </w:rPr>
        <w:t>1  范围</w:t>
      </w:r>
      <w:bookmarkEnd w:id="3"/>
      <w:bookmarkEnd w:id="4"/>
      <w:bookmarkEnd w:id="5"/>
    </w:p>
    <w:p w14:paraId="3222A662">
      <w:pPr>
        <w:pStyle w:val="57"/>
        <w:widowControl w:val="0"/>
        <w:tabs>
          <w:tab w:val="left" w:pos="2310"/>
        </w:tabs>
        <w:ind w:firstLine="420"/>
        <w:rPr>
          <w:color w:val="000000" w:themeColor="text1"/>
          <w14:textFill>
            <w14:solidFill>
              <w14:schemeClr w14:val="tx1"/>
            </w14:solidFill>
          </w14:textFill>
        </w:rPr>
      </w:pPr>
      <w:r>
        <w:rPr>
          <w:rFonts w:hint="eastAsia" w:asciiTheme="minorEastAsia" w:hAnsiTheme="minorEastAsia" w:eastAsiaTheme="minorEastAsia" w:cstheme="minorEastAsia"/>
        </w:rPr>
        <w:t>本文件</w:t>
      </w:r>
      <w:r>
        <w:rPr>
          <w:rFonts w:hint="eastAsia"/>
        </w:rPr>
        <w:t>规定了砂石企业信用等级评价的</w:t>
      </w:r>
      <w:r>
        <w:rPr>
          <w:rFonts w:hint="eastAsia" w:hAnsi="宋体"/>
        </w:rPr>
        <w:t>基本术语和定义、基本原则、评价指</w:t>
      </w:r>
      <w:r>
        <w:rPr>
          <w:rFonts w:hint="eastAsia" w:hAnsi="宋体"/>
          <w:color w:val="000000" w:themeColor="text1"/>
          <w14:textFill>
            <w14:solidFill>
              <w14:schemeClr w14:val="tx1"/>
            </w14:solidFill>
          </w14:textFill>
        </w:rPr>
        <w:t>标、评价内容、信用等级划分、信用评价结果公示。</w:t>
      </w:r>
    </w:p>
    <w:p w14:paraId="7655B9B1">
      <w:pPr>
        <w:pStyle w:val="57"/>
        <w:widowControl w:val="0"/>
        <w:tabs>
          <w:tab w:val="left" w:pos="2310"/>
        </w:tabs>
        <w:ind w:firstLine="420"/>
      </w:pPr>
      <w:r>
        <w:rPr>
          <w:rFonts w:hint="eastAsia" w:asciiTheme="minorEastAsia" w:hAnsiTheme="minorEastAsia" w:eastAsiaTheme="minorEastAsia" w:cstheme="minorEastAsia"/>
        </w:rPr>
        <w:t>本文件</w:t>
      </w:r>
      <w:r>
        <w:rPr>
          <w:rFonts w:hint="eastAsia"/>
        </w:rPr>
        <w:t>适用于在中华人民共和国境内砂石及相关企业的信用等级评价工作。</w:t>
      </w:r>
    </w:p>
    <w:p w14:paraId="51C1AF10">
      <w:pPr>
        <w:pStyle w:val="2"/>
        <w:tabs>
          <w:tab w:val="left" w:pos="6720"/>
        </w:tabs>
        <w:spacing w:before="0" w:after="0" w:line="720" w:lineRule="auto"/>
        <w:rPr>
          <w:rFonts w:hint="eastAsia" w:ascii="黑体" w:hAnsi="黑体" w:eastAsia="黑体"/>
          <w:b w:val="0"/>
          <w:sz w:val="21"/>
          <w:szCs w:val="21"/>
        </w:rPr>
      </w:pPr>
      <w:bookmarkStart w:id="6" w:name="_Toc173645146"/>
      <w:bookmarkStart w:id="7" w:name="_Toc175673354"/>
      <w:bookmarkStart w:id="8" w:name="_Toc98150827"/>
      <w:r>
        <w:rPr>
          <w:rFonts w:hint="eastAsia" w:ascii="黑体" w:hAnsi="黑体" w:eastAsia="黑体"/>
          <w:b w:val="0"/>
          <w:sz w:val="21"/>
          <w:szCs w:val="21"/>
        </w:rPr>
        <w:t>2  规范性引用文件</w:t>
      </w:r>
      <w:bookmarkEnd w:id="6"/>
      <w:bookmarkEnd w:id="7"/>
      <w:bookmarkEnd w:id="8"/>
    </w:p>
    <w:p w14:paraId="0E65EB15">
      <w:pPr>
        <w:pStyle w:val="57"/>
        <w:widowControl w:val="0"/>
        <w:tabs>
          <w:tab w:val="left" w:pos="2310"/>
        </w:tabs>
        <w:ind w:firstLine="420"/>
        <w:rPr>
          <w:szCs w:val="21"/>
        </w:rPr>
      </w:pPr>
      <w:r>
        <w:rPr>
          <w:rFonts w:hint="eastAsia"/>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6F8382D">
      <w:pPr>
        <w:pStyle w:val="57"/>
        <w:widowControl w:val="0"/>
        <w:tabs>
          <w:tab w:val="left" w:pos="2310"/>
        </w:tabs>
        <w:ind w:firstLine="420"/>
      </w:pPr>
      <w:r>
        <w:rPr>
          <w:rFonts w:ascii="Times New Roman"/>
        </w:rPr>
        <w:t>GB/T</w:t>
      </w:r>
      <w:r>
        <w:t xml:space="preserve"> 22116</w:t>
      </w:r>
      <w:r>
        <w:rPr>
          <w:rFonts w:hint="eastAsia"/>
        </w:rPr>
        <w:t xml:space="preserve">  企业信用等级表示方法</w:t>
      </w:r>
    </w:p>
    <w:p w14:paraId="2B90155A">
      <w:pPr>
        <w:pStyle w:val="57"/>
        <w:widowControl w:val="0"/>
        <w:tabs>
          <w:tab w:val="left" w:pos="2310"/>
        </w:tabs>
        <w:ind w:firstLine="420"/>
      </w:pPr>
      <w:r>
        <w:rPr>
          <w:rFonts w:ascii="Times New Roman"/>
        </w:rPr>
        <w:t>GB/T</w:t>
      </w:r>
      <w:r>
        <w:t xml:space="preserve"> 2</w:t>
      </w:r>
      <w:r>
        <w:rPr>
          <w:rFonts w:hint="eastAsia"/>
        </w:rPr>
        <w:t>3791  企业质量信用等级划分通则</w:t>
      </w:r>
    </w:p>
    <w:p w14:paraId="518FF30A">
      <w:pPr>
        <w:pStyle w:val="57"/>
        <w:widowControl w:val="0"/>
        <w:tabs>
          <w:tab w:val="left" w:pos="2310"/>
        </w:tabs>
        <w:ind w:firstLine="420"/>
      </w:pPr>
      <w:r>
        <w:rPr>
          <w:rFonts w:ascii="Times New Roman"/>
        </w:rPr>
        <w:t>GB/T</w:t>
      </w:r>
      <w:r>
        <w:t xml:space="preserve"> 22117 </w:t>
      </w:r>
      <w:r>
        <w:rPr>
          <w:rFonts w:hint="eastAsia"/>
        </w:rPr>
        <w:t xml:space="preserve"> 信用基本术语</w:t>
      </w:r>
    </w:p>
    <w:p w14:paraId="1A6B9C34">
      <w:pPr>
        <w:pStyle w:val="57"/>
        <w:widowControl w:val="0"/>
        <w:tabs>
          <w:tab w:val="left" w:pos="2310"/>
        </w:tabs>
        <w:ind w:firstLine="420"/>
      </w:pPr>
      <w:r>
        <w:rPr>
          <w:rFonts w:ascii="Times New Roman"/>
        </w:rPr>
        <w:t>GB/T</w:t>
      </w:r>
      <w:r>
        <w:rPr>
          <w:rFonts w:hint="eastAsia"/>
        </w:rPr>
        <w:t xml:space="preserve"> </w:t>
      </w:r>
      <w:r>
        <w:t>2</w:t>
      </w:r>
      <w:r>
        <w:rPr>
          <w:rFonts w:hint="eastAsia"/>
        </w:rPr>
        <w:t>2118  企业信用信息采集、处理和提供规范</w:t>
      </w:r>
    </w:p>
    <w:p w14:paraId="2D543B00">
      <w:pPr>
        <w:pStyle w:val="153"/>
        <w:ind w:firstLine="420"/>
        <w:rPr>
          <w:rFonts w:hint="eastAsia" w:hAnsi="宋体"/>
        </w:rPr>
      </w:pPr>
      <w:r>
        <w:rPr>
          <w:rFonts w:ascii="Times New Roman"/>
        </w:rPr>
        <w:t>GB/T</w:t>
      </w:r>
      <w:r>
        <w:rPr>
          <w:rFonts w:hAnsi="宋体"/>
        </w:rPr>
        <w:t xml:space="preserve"> 39441</w:t>
      </w:r>
      <w:r>
        <w:rPr>
          <w:rFonts w:hint="eastAsia" w:hAnsi="宋体"/>
        </w:rPr>
        <w:t xml:space="preserve">  公共信用信息分类与编码规范</w:t>
      </w:r>
    </w:p>
    <w:p w14:paraId="13684D1D">
      <w:pPr>
        <w:pStyle w:val="57"/>
        <w:widowControl w:val="0"/>
        <w:tabs>
          <w:tab w:val="left" w:pos="2310"/>
        </w:tabs>
        <w:ind w:firstLine="420"/>
      </w:pPr>
      <w:r>
        <w:rPr>
          <w:rFonts w:ascii="Times New Roman"/>
        </w:rPr>
        <w:t>GB/T</w:t>
      </w:r>
      <w:r>
        <w:rPr>
          <w:rFonts w:hint="eastAsia"/>
        </w:rPr>
        <w:t xml:space="preserve"> </w:t>
      </w:r>
      <w:r>
        <w:t>2</w:t>
      </w:r>
      <w:r>
        <w:rPr>
          <w:rFonts w:hint="eastAsia"/>
        </w:rPr>
        <w:t>3794  企业信用评价指标</w:t>
      </w:r>
    </w:p>
    <w:p w14:paraId="23630A68">
      <w:pPr>
        <w:pStyle w:val="57"/>
        <w:widowControl w:val="0"/>
        <w:tabs>
          <w:tab w:val="left" w:pos="2310"/>
        </w:tabs>
        <w:ind w:firstLine="420"/>
      </w:pPr>
      <w:r>
        <w:rPr>
          <w:rFonts w:ascii="Times New Roman"/>
        </w:rPr>
        <w:t>GB/T</w:t>
      </w:r>
      <w:r>
        <w:rPr>
          <w:rFonts w:hAnsi="宋体"/>
        </w:rPr>
        <w:t xml:space="preserve"> 31950</w:t>
      </w:r>
      <w:r>
        <w:rPr>
          <w:rFonts w:hint="eastAsia" w:hAnsi="宋体"/>
        </w:rPr>
        <w:t xml:space="preserve">  企业诚信管理体系  要求</w:t>
      </w:r>
    </w:p>
    <w:p w14:paraId="29930C74">
      <w:pPr>
        <w:pStyle w:val="2"/>
        <w:tabs>
          <w:tab w:val="left" w:pos="6300"/>
        </w:tabs>
        <w:spacing w:before="0" w:after="0" w:line="720" w:lineRule="auto"/>
        <w:rPr>
          <w:rFonts w:hint="eastAsia" w:ascii="黑体" w:hAnsi="黑体" w:eastAsia="黑体"/>
          <w:b w:val="0"/>
          <w:sz w:val="21"/>
          <w:szCs w:val="21"/>
        </w:rPr>
      </w:pPr>
      <w:bookmarkStart w:id="9" w:name="_Toc175673355"/>
      <w:bookmarkStart w:id="10" w:name="_Toc173645147"/>
      <w:r>
        <w:rPr>
          <w:rFonts w:ascii="黑体" w:hAnsi="黑体" w:eastAsia="黑体"/>
          <w:b w:val="0"/>
          <w:sz w:val="21"/>
          <w:szCs w:val="21"/>
        </w:rPr>
        <w:t>3</w:t>
      </w:r>
      <w:r>
        <w:rPr>
          <w:rFonts w:hint="eastAsia" w:ascii="黑体" w:hAnsi="黑体" w:eastAsia="黑体"/>
          <w:b w:val="0"/>
          <w:sz w:val="21"/>
          <w:szCs w:val="21"/>
        </w:rPr>
        <w:t xml:space="preserve">  术语和定义</w:t>
      </w:r>
      <w:bookmarkEnd w:id="9"/>
      <w:bookmarkEnd w:id="10"/>
    </w:p>
    <w:p w14:paraId="09517B5C">
      <w:pPr>
        <w:pStyle w:val="57"/>
        <w:widowControl w:val="0"/>
        <w:tabs>
          <w:tab w:val="left" w:pos="2310"/>
        </w:tabs>
        <w:ind w:firstLine="420"/>
        <w:rPr>
          <w:rFonts w:hint="eastAsia" w:hAnsi="宋体"/>
        </w:rPr>
      </w:pPr>
      <w:r>
        <w:rPr>
          <w:rFonts w:hint="eastAsia" w:hAnsi="宋体" w:cs="宋体"/>
          <w:szCs w:val="21"/>
        </w:rPr>
        <w:t>下列术语和定义适用于本文件</w:t>
      </w:r>
      <w:r>
        <w:rPr>
          <w:rFonts w:hint="eastAsia" w:hAnsi="宋体"/>
        </w:rPr>
        <w:t>。</w:t>
      </w:r>
    </w:p>
    <w:p w14:paraId="15F63B43">
      <w:pPr>
        <w:pStyle w:val="3"/>
        <w:spacing w:before="0" w:after="0" w:line="480" w:lineRule="auto"/>
        <w:rPr>
          <w:rFonts w:hint="eastAsia" w:ascii="黑体" w:hAnsi="黑体"/>
          <w:b w:val="0"/>
          <w:sz w:val="21"/>
          <w:szCs w:val="21"/>
          <w:lang w:val="fr-FR"/>
        </w:rPr>
      </w:pPr>
      <w:bookmarkStart w:id="11" w:name="_Toc170708064"/>
      <w:bookmarkEnd w:id="11"/>
      <w:bookmarkStart w:id="12" w:name="_Toc171406630"/>
      <w:bookmarkEnd w:id="12"/>
      <w:bookmarkStart w:id="13" w:name="_Toc157936664"/>
      <w:bookmarkEnd w:id="13"/>
      <w:bookmarkStart w:id="14" w:name="_Toc509513864"/>
      <w:bookmarkStart w:id="15" w:name="_Toc509587816"/>
      <w:bookmarkStart w:id="16" w:name="_Toc175673356"/>
      <w:r>
        <w:rPr>
          <w:rFonts w:ascii="黑体" w:hAnsi="黑体"/>
          <w:b w:val="0"/>
          <w:sz w:val="21"/>
          <w:szCs w:val="21"/>
          <w:lang w:val="fr-FR"/>
        </w:rPr>
        <w:t>3.1</w:t>
      </w:r>
      <w:bookmarkEnd w:id="14"/>
      <w:bookmarkEnd w:id="15"/>
      <w:bookmarkStart w:id="17" w:name="_Toc509513865"/>
      <w:bookmarkStart w:id="18" w:name="_Toc499857623"/>
      <w:bookmarkStart w:id="19" w:name="_Toc509587817"/>
      <w:r>
        <w:rPr>
          <w:rFonts w:hint="eastAsia" w:ascii="黑体" w:hAnsi="黑体"/>
          <w:b w:val="0"/>
          <w:sz w:val="21"/>
          <w:szCs w:val="21"/>
        </w:rPr>
        <w:t xml:space="preserve">  </w:t>
      </w:r>
      <w:r>
        <w:rPr>
          <w:rFonts w:hint="eastAsia" w:ascii="黑体" w:hAnsi="黑体"/>
          <w:b w:val="0"/>
          <w:sz w:val="21"/>
          <w:szCs w:val="21"/>
          <w:lang w:val="fr-FR"/>
        </w:rPr>
        <w:t>砂石企业</w:t>
      </w:r>
      <w:bookmarkEnd w:id="16"/>
      <w:r>
        <w:rPr>
          <w:rFonts w:hint="eastAsia" w:ascii="黑体" w:hAnsi="黑体"/>
          <w:b w:val="0"/>
          <w:sz w:val="21"/>
          <w:szCs w:val="21"/>
          <w:lang w:val="fr-FR"/>
        </w:rPr>
        <w:t xml:space="preserve"> </w:t>
      </w:r>
      <w:bookmarkEnd w:id="17"/>
      <w:bookmarkEnd w:id="18"/>
      <w:bookmarkEnd w:id="19"/>
    </w:p>
    <w:p w14:paraId="224C2DB8">
      <w:pPr>
        <w:ind w:firstLine="420" w:firstLineChars="200"/>
        <w:rPr>
          <w:rFonts w:hint="eastAsia" w:asciiTheme="minorEastAsia" w:hAnsiTheme="minorEastAsia" w:eastAsiaTheme="minorEastAsia" w:cstheme="minorEastAsia"/>
          <w:szCs w:val="21"/>
          <w:lang w:val="fr-FR"/>
        </w:rPr>
      </w:pPr>
      <w:r>
        <w:rPr>
          <w:rFonts w:hint="eastAsia" w:asciiTheme="minorEastAsia" w:hAnsiTheme="minorEastAsia" w:eastAsiaTheme="minorEastAsia" w:cstheme="minorEastAsia"/>
          <w:szCs w:val="21"/>
        </w:rPr>
        <w:t>指涉及天然砂石开采、石矿开采、机制砂石生产，砂石贸易流通、设备制造、技术研发、产品检验检测及尾矿废石、建筑固废综合利用等市场经营的企事业单位、科研院所、大专院校的总称。</w:t>
      </w:r>
    </w:p>
    <w:p w14:paraId="5F829E0B">
      <w:pPr>
        <w:pStyle w:val="3"/>
        <w:spacing w:before="0" w:after="0" w:line="480" w:lineRule="auto"/>
        <w:rPr>
          <w:rFonts w:hint="eastAsia" w:ascii="黑体" w:hAnsi="黑体"/>
          <w:szCs w:val="21"/>
          <w:lang w:val="fr-FR"/>
        </w:rPr>
      </w:pPr>
      <w:bookmarkStart w:id="20" w:name="_Toc509513866"/>
      <w:bookmarkStart w:id="21" w:name="_Toc509587818"/>
      <w:bookmarkStart w:id="22" w:name="_Toc175673357"/>
      <w:r>
        <w:rPr>
          <w:rFonts w:ascii="黑体" w:hAnsi="黑体"/>
          <w:b w:val="0"/>
          <w:sz w:val="21"/>
          <w:szCs w:val="21"/>
          <w:lang w:val="fr-FR"/>
        </w:rPr>
        <w:t>3.2</w:t>
      </w:r>
      <w:bookmarkEnd w:id="20"/>
      <w:bookmarkEnd w:id="21"/>
      <w:bookmarkStart w:id="23" w:name="_Toc509587819"/>
      <w:bookmarkStart w:id="24" w:name="_Toc499857625"/>
      <w:bookmarkStart w:id="25" w:name="_Toc509513867"/>
      <w:r>
        <w:rPr>
          <w:rFonts w:hint="eastAsia" w:ascii="黑体" w:hAnsi="黑体"/>
          <w:b w:val="0"/>
          <w:sz w:val="21"/>
          <w:szCs w:val="21"/>
          <w:lang w:val="fr-FR"/>
        </w:rPr>
        <w:t xml:space="preserve">  企业信用评价</w:t>
      </w:r>
      <w:bookmarkEnd w:id="22"/>
      <w:r>
        <w:rPr>
          <w:rFonts w:hint="eastAsia" w:ascii="黑体" w:hAnsi="黑体"/>
          <w:b w:val="0"/>
          <w:sz w:val="21"/>
          <w:szCs w:val="21"/>
          <w:lang w:val="fr-FR"/>
        </w:rPr>
        <w:t xml:space="preserve"> </w:t>
      </w:r>
      <w:bookmarkEnd w:id="23"/>
      <w:bookmarkEnd w:id="24"/>
      <w:bookmarkEnd w:id="25"/>
    </w:p>
    <w:p w14:paraId="30F600A9">
      <w:pPr>
        <w:ind w:firstLine="420" w:firstLineChars="200"/>
        <w:rPr>
          <w:rFonts w:hint="eastAsia" w:asciiTheme="minorEastAsia" w:hAnsiTheme="minorEastAsia" w:eastAsiaTheme="minorEastAsia" w:cstheme="minorEastAsia"/>
          <w:szCs w:val="21"/>
          <w:lang w:val="fr-FR"/>
        </w:rPr>
      </w:pPr>
      <w:r>
        <w:rPr>
          <w:rFonts w:hint="eastAsia" w:asciiTheme="minorEastAsia" w:hAnsiTheme="minorEastAsia" w:eastAsiaTheme="minorEastAsia" w:cstheme="minorEastAsia"/>
          <w:szCs w:val="21"/>
        </w:rPr>
        <w:t>根据相应的指标和评估方法</w:t>
      </w:r>
      <w:r>
        <w:rPr>
          <w:rFonts w:hint="eastAsia" w:asciiTheme="minorEastAsia" w:hAnsiTheme="minorEastAsia" w:eastAsiaTheme="minorEastAsia" w:cstheme="minorEastAsia"/>
          <w:szCs w:val="21"/>
          <w:lang w:val="fr-FR"/>
        </w:rPr>
        <w:t>，</w:t>
      </w:r>
      <w:r>
        <w:rPr>
          <w:rFonts w:hint="eastAsia" w:asciiTheme="minorEastAsia" w:hAnsiTheme="minorEastAsia" w:eastAsiaTheme="minorEastAsia" w:cstheme="minorEastAsia"/>
          <w:szCs w:val="21"/>
        </w:rPr>
        <w:t>对砂石企业履行法定义务、约定义务、自主承诺的意愿、能力和行为的综合评估活动。</w:t>
      </w:r>
    </w:p>
    <w:p w14:paraId="6884261D">
      <w:pPr>
        <w:pStyle w:val="3"/>
        <w:spacing w:before="0" w:after="0" w:line="480" w:lineRule="auto"/>
        <w:rPr>
          <w:rFonts w:hint="eastAsia" w:ascii="黑体" w:hAnsi="黑体"/>
          <w:b w:val="0"/>
          <w:sz w:val="21"/>
          <w:szCs w:val="21"/>
          <w:lang w:val="fr-FR"/>
        </w:rPr>
      </w:pPr>
      <w:bookmarkStart w:id="26" w:name="_Toc509587820"/>
      <w:bookmarkStart w:id="27" w:name="_Toc509513868"/>
      <w:bookmarkStart w:id="28" w:name="_Toc175673358"/>
      <w:r>
        <w:rPr>
          <w:rFonts w:ascii="黑体" w:hAnsi="黑体"/>
          <w:b w:val="0"/>
          <w:sz w:val="21"/>
          <w:szCs w:val="21"/>
          <w:lang w:val="fr-FR"/>
        </w:rPr>
        <w:t>3.3</w:t>
      </w:r>
      <w:bookmarkEnd w:id="26"/>
      <w:bookmarkEnd w:id="27"/>
      <w:r>
        <w:rPr>
          <w:rFonts w:ascii="黑体" w:hAnsi="黑体"/>
          <w:b w:val="0"/>
          <w:sz w:val="21"/>
          <w:szCs w:val="21"/>
          <w:lang w:val="fr-FR"/>
        </w:rPr>
        <w:t xml:space="preserve"> </w:t>
      </w:r>
      <w:bookmarkStart w:id="29" w:name="_Toc499857627"/>
      <w:bookmarkStart w:id="30" w:name="_Toc509513869"/>
      <w:bookmarkStart w:id="31" w:name="_Toc509587821"/>
      <w:r>
        <w:rPr>
          <w:rFonts w:hint="eastAsia" w:ascii="黑体" w:hAnsi="黑体"/>
          <w:b w:val="0"/>
          <w:sz w:val="21"/>
          <w:szCs w:val="21"/>
          <w:lang w:val="fr-FR"/>
        </w:rPr>
        <w:t xml:space="preserve"> 指标体系</w:t>
      </w:r>
      <w:bookmarkEnd w:id="28"/>
      <w:bookmarkEnd w:id="29"/>
      <w:bookmarkEnd w:id="30"/>
      <w:bookmarkEnd w:id="31"/>
    </w:p>
    <w:p w14:paraId="30B714C2">
      <w:pPr>
        <w:tabs>
          <w:tab w:val="center" w:pos="4201"/>
          <w:tab w:val="right" w:leader="dot" w:pos="9298"/>
        </w:tabs>
        <w:autoSpaceDE w:val="0"/>
        <w:autoSpaceDN w:val="0"/>
        <w:ind w:firstLine="420" w:firstLineChars="200"/>
        <w:rPr>
          <w:rFonts w:ascii="宋体"/>
          <w:kern w:val="0"/>
          <w:szCs w:val="20"/>
          <w:lang w:val="fr-FR"/>
        </w:rPr>
      </w:pPr>
      <w:r>
        <w:rPr>
          <w:rFonts w:hint="eastAsia" w:ascii="宋体"/>
          <w:kern w:val="0"/>
          <w:szCs w:val="20"/>
        </w:rPr>
        <w:t>由一系列反映砂石企业信用特征并相互联系、相互补充的指标组成的统一整体。</w:t>
      </w:r>
    </w:p>
    <w:p w14:paraId="7AA4115E">
      <w:pPr>
        <w:pStyle w:val="3"/>
        <w:spacing w:before="0" w:after="0" w:line="480" w:lineRule="auto"/>
        <w:rPr>
          <w:rFonts w:hint="eastAsia" w:ascii="黑体" w:hAnsi="黑体"/>
          <w:b w:val="0"/>
          <w:sz w:val="21"/>
          <w:szCs w:val="21"/>
          <w:lang w:val="fr-FR"/>
        </w:rPr>
      </w:pPr>
      <w:bookmarkStart w:id="32" w:name="_Toc509587822"/>
      <w:bookmarkStart w:id="33" w:name="_Toc509513870"/>
      <w:bookmarkStart w:id="34" w:name="_Toc175673359"/>
      <w:r>
        <w:rPr>
          <w:rFonts w:ascii="黑体" w:hAnsi="黑体"/>
          <w:b w:val="0"/>
          <w:sz w:val="21"/>
          <w:szCs w:val="21"/>
          <w:lang w:val="fr-FR"/>
        </w:rPr>
        <w:t>3.4</w:t>
      </w:r>
      <w:bookmarkEnd w:id="32"/>
      <w:bookmarkEnd w:id="33"/>
      <w:r>
        <w:rPr>
          <w:rFonts w:ascii="黑体" w:hAnsi="黑体"/>
          <w:b w:val="0"/>
          <w:sz w:val="21"/>
          <w:szCs w:val="21"/>
          <w:lang w:val="fr-FR"/>
        </w:rPr>
        <w:t xml:space="preserve"> </w:t>
      </w:r>
      <w:bookmarkStart w:id="35" w:name="_Toc509513871"/>
      <w:bookmarkStart w:id="36" w:name="_Toc509587823"/>
      <w:bookmarkStart w:id="37" w:name="_Toc499857629"/>
      <w:r>
        <w:rPr>
          <w:rFonts w:hint="eastAsia" w:ascii="黑体" w:hAnsi="黑体"/>
          <w:b w:val="0"/>
          <w:sz w:val="21"/>
          <w:szCs w:val="21"/>
          <w:lang w:val="fr-FR"/>
        </w:rPr>
        <w:t xml:space="preserve"> 信用等级</w:t>
      </w:r>
      <w:bookmarkEnd w:id="34"/>
      <w:bookmarkEnd w:id="35"/>
      <w:bookmarkEnd w:id="36"/>
      <w:bookmarkEnd w:id="37"/>
    </w:p>
    <w:p w14:paraId="033B3A83">
      <w:pPr>
        <w:pStyle w:val="57"/>
        <w:widowControl w:val="0"/>
        <w:ind w:firstLine="420"/>
      </w:pPr>
      <w:r>
        <w:rPr>
          <w:rFonts w:hint="eastAsia"/>
        </w:rPr>
        <w:t>用既定的符号标识砂石企业信用状况的级别结果。</w:t>
      </w:r>
    </w:p>
    <w:p w14:paraId="124074B5">
      <w:pPr>
        <w:pStyle w:val="2"/>
        <w:spacing w:before="312" w:beforeLines="100" w:after="312" w:afterLines="100" w:line="240" w:lineRule="auto"/>
        <w:rPr>
          <w:rFonts w:hint="eastAsia" w:ascii="黑体" w:hAnsi="黑体" w:eastAsia="黑体"/>
          <w:b w:val="0"/>
          <w:sz w:val="21"/>
          <w:szCs w:val="21"/>
        </w:rPr>
      </w:pPr>
      <w:bookmarkStart w:id="38" w:name="_Toc308523198"/>
      <w:bookmarkStart w:id="39" w:name="_Toc308523308"/>
      <w:bookmarkStart w:id="40" w:name="_Toc308523737"/>
      <w:bookmarkStart w:id="41" w:name="_Toc308523490"/>
      <w:bookmarkStart w:id="42" w:name="_Toc313463605"/>
      <w:bookmarkStart w:id="43" w:name="_Toc308523658"/>
      <w:bookmarkStart w:id="44" w:name="_Toc308523467"/>
      <w:bookmarkStart w:id="45" w:name="_Toc308523768"/>
      <w:bookmarkStart w:id="46" w:name="_Toc175673360"/>
      <w:r>
        <w:rPr>
          <w:rFonts w:hint="eastAsia" w:ascii="黑体" w:hAnsi="黑体" w:eastAsia="黑体"/>
          <w:b w:val="0"/>
          <w:sz w:val="21"/>
          <w:szCs w:val="21"/>
        </w:rPr>
        <w:t>4  基本原则</w:t>
      </w:r>
      <w:bookmarkEnd w:id="38"/>
      <w:bookmarkEnd w:id="39"/>
      <w:bookmarkEnd w:id="40"/>
      <w:bookmarkEnd w:id="41"/>
      <w:bookmarkEnd w:id="42"/>
      <w:bookmarkEnd w:id="43"/>
      <w:bookmarkEnd w:id="44"/>
      <w:bookmarkEnd w:id="45"/>
      <w:bookmarkEnd w:id="46"/>
    </w:p>
    <w:p w14:paraId="4DC9F150">
      <w:pPr>
        <w:pStyle w:val="57"/>
        <w:widowControl w:val="0"/>
        <w:ind w:firstLine="420"/>
      </w:pPr>
      <w:r>
        <w:rPr>
          <w:rFonts w:hint="eastAsia"/>
        </w:rPr>
        <w:t>依据</w:t>
      </w:r>
      <w:r>
        <w:rPr>
          <w:rFonts w:ascii="Times New Roman"/>
        </w:rPr>
        <w:t>GB/T</w:t>
      </w:r>
      <w:r>
        <w:rPr>
          <w:rFonts w:hint="eastAsia"/>
        </w:rPr>
        <w:t xml:space="preserve"> </w:t>
      </w:r>
      <w:r>
        <w:t>2</w:t>
      </w:r>
      <w:r>
        <w:rPr>
          <w:rFonts w:hint="eastAsia"/>
        </w:rPr>
        <w:t>3794  企业信用评价指标中科学性、合理性、适用性、安全性的信用评价基本原则，针对砂石企业特点，制定体现行业特征的评价规范。</w:t>
      </w:r>
    </w:p>
    <w:p w14:paraId="573B6553">
      <w:pPr>
        <w:pStyle w:val="2"/>
        <w:spacing w:before="0" w:after="0" w:line="720" w:lineRule="auto"/>
        <w:rPr>
          <w:rFonts w:hint="eastAsia" w:ascii="黑体" w:hAnsi="黑体" w:eastAsia="黑体"/>
          <w:b w:val="0"/>
          <w:sz w:val="21"/>
          <w:szCs w:val="21"/>
        </w:rPr>
      </w:pPr>
      <w:bookmarkStart w:id="47" w:name="_Toc175673361"/>
      <w:r>
        <w:rPr>
          <w:rFonts w:hint="eastAsia" w:ascii="黑体" w:hAnsi="黑体" w:eastAsia="黑体"/>
          <w:b w:val="0"/>
          <w:sz w:val="21"/>
          <w:szCs w:val="21"/>
        </w:rPr>
        <w:t>5  评价指标</w:t>
      </w:r>
      <w:bookmarkEnd w:id="47"/>
    </w:p>
    <w:p w14:paraId="1CAB0423">
      <w:pPr>
        <w:pStyle w:val="3"/>
        <w:spacing w:before="0" w:after="0" w:line="480" w:lineRule="auto"/>
        <w:rPr>
          <w:rFonts w:hint="eastAsia" w:ascii="黑体" w:hAnsi="黑体"/>
          <w:b w:val="0"/>
          <w:sz w:val="21"/>
          <w:szCs w:val="21"/>
          <w:lang w:val="fr-FR"/>
        </w:rPr>
      </w:pPr>
      <w:bookmarkStart w:id="48" w:name="_Toc175673362"/>
      <w:r>
        <w:rPr>
          <w:rFonts w:hint="eastAsia" w:ascii="黑体" w:hAnsi="黑体"/>
          <w:b w:val="0"/>
          <w:sz w:val="21"/>
          <w:szCs w:val="21"/>
          <w:lang w:val="fr-FR"/>
        </w:rPr>
        <w:t xml:space="preserve">5.1 </w:t>
      </w:r>
      <w:r>
        <w:rPr>
          <w:rFonts w:hint="eastAsia" w:ascii="黑体" w:hAnsi="黑体"/>
          <w:b w:val="0"/>
          <w:sz w:val="21"/>
          <w:szCs w:val="21"/>
        </w:rPr>
        <w:t xml:space="preserve"> </w:t>
      </w:r>
      <w:r>
        <w:rPr>
          <w:rFonts w:hint="eastAsia" w:ascii="黑体" w:hAnsi="黑体"/>
          <w:b w:val="0"/>
          <w:sz w:val="21"/>
          <w:szCs w:val="21"/>
          <w:lang w:val="fr-FR"/>
        </w:rPr>
        <w:t>总则</w:t>
      </w:r>
      <w:bookmarkEnd w:id="48"/>
    </w:p>
    <w:p w14:paraId="67CA642A">
      <w:pPr>
        <w:pStyle w:val="57"/>
        <w:widowControl w:val="0"/>
        <w:ind w:firstLine="420"/>
      </w:pPr>
      <w:r>
        <w:rPr>
          <w:rFonts w:hint="eastAsia"/>
        </w:rPr>
        <w:t>评价指标分为基础信用指标、竞争力指标、财务实力指标和社会责任指标。</w:t>
      </w:r>
    </w:p>
    <w:p w14:paraId="5A719AF7">
      <w:pPr>
        <w:pStyle w:val="57"/>
        <w:widowControl w:val="0"/>
        <w:ind w:firstLine="420"/>
      </w:pPr>
      <w:r>
        <w:rPr>
          <w:rFonts w:hint="eastAsia"/>
        </w:rPr>
        <w:t>指标选取时,可根据被评对象特征以及所掌握资源情况，在符合本标准基本原则的前提下，合理设置、调整或细化指标项。</w:t>
      </w:r>
    </w:p>
    <w:p w14:paraId="5352CB4C">
      <w:pPr>
        <w:pStyle w:val="3"/>
        <w:spacing w:before="0" w:after="0" w:line="480" w:lineRule="auto"/>
        <w:rPr>
          <w:rFonts w:hint="eastAsia" w:ascii="黑体" w:hAnsi="黑体"/>
          <w:b w:val="0"/>
          <w:sz w:val="21"/>
          <w:szCs w:val="21"/>
          <w:lang w:val="fr-FR"/>
        </w:rPr>
      </w:pPr>
      <w:bookmarkStart w:id="49" w:name="_Toc175673363"/>
      <w:r>
        <w:rPr>
          <w:rFonts w:ascii="黑体" w:hAnsi="黑体"/>
          <w:b w:val="0"/>
          <w:sz w:val="21"/>
          <w:szCs w:val="21"/>
          <w:lang w:val="fr-FR"/>
        </w:rPr>
        <w:t xml:space="preserve">5.2 </w:t>
      </w:r>
      <w:r>
        <w:rPr>
          <w:rFonts w:hint="eastAsia" w:ascii="黑体" w:hAnsi="黑体"/>
          <w:b w:val="0"/>
          <w:sz w:val="21"/>
          <w:szCs w:val="21"/>
        </w:rPr>
        <w:t xml:space="preserve"> </w:t>
      </w:r>
      <w:r>
        <w:rPr>
          <w:rFonts w:hint="eastAsia" w:ascii="黑体" w:hAnsi="黑体"/>
          <w:b w:val="0"/>
          <w:sz w:val="21"/>
          <w:szCs w:val="21"/>
          <w:lang w:val="fr-FR"/>
        </w:rPr>
        <w:t>信用等级评价指标体系</w:t>
      </w:r>
      <w:bookmarkEnd w:id="49"/>
    </w:p>
    <w:p w14:paraId="2A4E0D16">
      <w:pPr>
        <w:pStyle w:val="3"/>
        <w:spacing w:before="0" w:after="0" w:line="480" w:lineRule="auto"/>
      </w:pPr>
      <w:bookmarkStart w:id="50" w:name="_Toc175673364"/>
      <w:r>
        <w:rPr>
          <w:rFonts w:ascii="黑体" w:hAnsi="黑体"/>
          <w:b w:val="0"/>
          <w:sz w:val="21"/>
          <w:szCs w:val="21"/>
          <w:lang w:val="fr-FR"/>
        </w:rPr>
        <w:t>5.2</w:t>
      </w:r>
      <w:r>
        <w:rPr>
          <w:rFonts w:hint="eastAsia" w:ascii="黑体" w:hAnsi="黑体"/>
          <w:b w:val="0"/>
          <w:sz w:val="21"/>
          <w:szCs w:val="21"/>
          <w:lang w:val="fr-FR"/>
        </w:rPr>
        <w:t>.</w:t>
      </w:r>
      <w:r>
        <w:rPr>
          <w:rFonts w:hint="eastAsia" w:ascii="黑体" w:hAnsi="黑体"/>
          <w:b w:val="0"/>
          <w:sz w:val="21"/>
          <w:szCs w:val="21"/>
        </w:rPr>
        <w:t>1</w:t>
      </w:r>
      <w:r>
        <w:rPr>
          <w:rFonts w:ascii="黑体" w:hAnsi="黑体"/>
          <w:b w:val="0"/>
          <w:sz w:val="21"/>
          <w:szCs w:val="21"/>
          <w:lang w:val="fr-FR"/>
        </w:rPr>
        <w:t xml:space="preserve"> </w:t>
      </w:r>
      <w:r>
        <w:rPr>
          <w:rFonts w:hint="eastAsia" w:ascii="黑体" w:hAnsi="黑体"/>
          <w:b w:val="0"/>
          <w:sz w:val="21"/>
          <w:szCs w:val="21"/>
        </w:rPr>
        <w:t xml:space="preserve"> </w:t>
      </w:r>
      <w:r>
        <w:rPr>
          <w:rFonts w:hint="eastAsia" w:ascii="黑体" w:hAnsi="黑体"/>
          <w:b w:val="0"/>
          <w:sz w:val="21"/>
          <w:szCs w:val="21"/>
          <w:lang w:val="fr-FR"/>
        </w:rPr>
        <w:t>信用等级评价指标</w:t>
      </w:r>
      <w:bookmarkEnd w:id="50"/>
    </w:p>
    <w:p w14:paraId="0F58BCBE">
      <w:pPr>
        <w:pStyle w:val="57"/>
        <w:widowControl w:val="0"/>
        <w:ind w:firstLine="420"/>
      </w:pPr>
      <w:r>
        <w:rPr>
          <w:rFonts w:hint="eastAsia"/>
        </w:rPr>
        <w:t>砂石企业信用等级评价指标包括一级指标、二级指标、三级指标，是根据砂石行业或专业领域特点制定的指标。</w:t>
      </w:r>
      <w:bookmarkStart w:id="51" w:name="_Toc308523739"/>
      <w:bookmarkStart w:id="52" w:name="_Toc308523492"/>
      <w:bookmarkStart w:id="53" w:name="_Toc308523660"/>
      <w:r>
        <w:rPr>
          <w:rFonts w:hint="eastAsia"/>
        </w:rPr>
        <w:t>其评价指标体系见附录</w:t>
      </w:r>
      <w:r>
        <w:rPr>
          <w:rFonts w:ascii="Times New Roman"/>
        </w:rPr>
        <w:t>A</w:t>
      </w:r>
      <w:r>
        <w:rPr>
          <w:rFonts w:hint="eastAsia"/>
        </w:rPr>
        <w:t>。</w:t>
      </w:r>
    </w:p>
    <w:p w14:paraId="5A4D7DE5">
      <w:pPr>
        <w:pStyle w:val="3"/>
        <w:spacing w:before="0" w:after="0" w:line="480" w:lineRule="auto"/>
        <w:rPr>
          <w:rFonts w:hint="eastAsia" w:ascii="黑体" w:hAnsi="黑体"/>
          <w:b w:val="0"/>
          <w:sz w:val="21"/>
          <w:szCs w:val="21"/>
          <w:lang w:val="fr-FR"/>
        </w:rPr>
      </w:pPr>
      <w:bookmarkStart w:id="54" w:name="_Toc175673365"/>
      <w:r>
        <w:rPr>
          <w:rFonts w:ascii="黑体" w:hAnsi="黑体"/>
          <w:b w:val="0"/>
          <w:sz w:val="21"/>
          <w:szCs w:val="21"/>
          <w:lang w:val="fr-FR"/>
        </w:rPr>
        <w:t>5.2</w:t>
      </w:r>
      <w:r>
        <w:rPr>
          <w:rFonts w:hint="eastAsia" w:ascii="黑体" w:hAnsi="黑体"/>
          <w:b w:val="0"/>
          <w:sz w:val="21"/>
          <w:szCs w:val="21"/>
          <w:lang w:val="fr-FR"/>
        </w:rPr>
        <w:t>.</w:t>
      </w:r>
      <w:r>
        <w:rPr>
          <w:rFonts w:hint="eastAsia" w:ascii="黑体" w:hAnsi="黑体"/>
          <w:b w:val="0"/>
          <w:sz w:val="21"/>
          <w:szCs w:val="21"/>
        </w:rPr>
        <w:t xml:space="preserve">2 </w:t>
      </w:r>
      <w:r>
        <w:rPr>
          <w:rFonts w:ascii="黑体" w:hAnsi="黑体"/>
          <w:b w:val="0"/>
          <w:sz w:val="21"/>
          <w:szCs w:val="21"/>
          <w:lang w:val="fr-FR"/>
        </w:rPr>
        <w:t xml:space="preserve"> </w:t>
      </w:r>
      <w:r>
        <w:rPr>
          <w:rFonts w:hint="eastAsia" w:ascii="黑体" w:hAnsi="黑体"/>
          <w:b w:val="0"/>
          <w:sz w:val="21"/>
          <w:szCs w:val="21"/>
          <w:lang w:val="fr-FR"/>
        </w:rPr>
        <w:t>基础信用</w:t>
      </w:r>
      <w:bookmarkEnd w:id="51"/>
      <w:bookmarkEnd w:id="52"/>
      <w:bookmarkEnd w:id="53"/>
      <w:r>
        <w:rPr>
          <w:rFonts w:hint="eastAsia" w:ascii="黑体" w:hAnsi="黑体"/>
          <w:b w:val="0"/>
          <w:sz w:val="21"/>
          <w:szCs w:val="21"/>
          <w:lang w:val="fr-FR"/>
        </w:rPr>
        <w:t>指标</w:t>
      </w:r>
      <w:bookmarkEnd w:id="54"/>
    </w:p>
    <w:p w14:paraId="69E38EDC">
      <w:pPr>
        <w:pStyle w:val="57"/>
        <w:widowControl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主要考察基础信息、经营条件、资质体系认证、制度规范，包括企业存续时间、实收资本、经营场所、生产或配套设备、法人治理、规章制度建设等情况。</w:t>
      </w:r>
    </w:p>
    <w:p w14:paraId="59EC7180">
      <w:pPr>
        <w:pStyle w:val="3"/>
        <w:spacing w:before="0" w:after="0" w:line="480" w:lineRule="auto"/>
        <w:rPr>
          <w:rFonts w:hint="eastAsia" w:ascii="黑体" w:hAnsi="黑体"/>
          <w:b w:val="0"/>
          <w:sz w:val="21"/>
          <w:szCs w:val="21"/>
          <w:lang w:val="fr-FR"/>
        </w:rPr>
      </w:pPr>
      <w:bookmarkStart w:id="55" w:name="_Toc308523499"/>
      <w:bookmarkStart w:id="56" w:name="_Toc175673366"/>
      <w:bookmarkStart w:id="57" w:name="_Toc308523667"/>
      <w:bookmarkStart w:id="58" w:name="_Toc308523746"/>
      <w:bookmarkStart w:id="59" w:name="_Toc509587834"/>
      <w:r>
        <w:rPr>
          <w:rFonts w:ascii="黑体" w:hAnsi="黑体"/>
          <w:b w:val="0"/>
          <w:sz w:val="21"/>
          <w:szCs w:val="21"/>
          <w:lang w:val="fr-FR"/>
        </w:rPr>
        <w:t>5.2</w:t>
      </w:r>
      <w:r>
        <w:rPr>
          <w:rFonts w:hint="eastAsia" w:ascii="黑体" w:hAnsi="黑体"/>
          <w:b w:val="0"/>
          <w:sz w:val="21"/>
          <w:szCs w:val="21"/>
          <w:lang w:val="fr-FR"/>
        </w:rPr>
        <w:t>.</w:t>
      </w:r>
      <w:r>
        <w:rPr>
          <w:rFonts w:hint="eastAsia" w:ascii="黑体" w:hAnsi="黑体"/>
          <w:b w:val="0"/>
          <w:sz w:val="21"/>
          <w:szCs w:val="21"/>
        </w:rPr>
        <w:t xml:space="preserve">3 </w:t>
      </w:r>
      <w:r>
        <w:rPr>
          <w:rFonts w:ascii="黑体" w:hAnsi="黑体"/>
          <w:b w:val="0"/>
          <w:sz w:val="21"/>
          <w:szCs w:val="21"/>
          <w:lang w:val="fr-FR"/>
        </w:rPr>
        <w:t xml:space="preserve"> </w:t>
      </w:r>
      <w:r>
        <w:rPr>
          <w:rFonts w:hint="eastAsia" w:ascii="黑体" w:hAnsi="黑体"/>
          <w:b w:val="0"/>
          <w:sz w:val="21"/>
          <w:szCs w:val="21"/>
          <w:lang w:val="fr-FR"/>
        </w:rPr>
        <w:t>竞争力指标</w:t>
      </w:r>
      <w:bookmarkEnd w:id="55"/>
      <w:bookmarkEnd w:id="56"/>
      <w:bookmarkEnd w:id="57"/>
      <w:bookmarkEnd w:id="58"/>
      <w:bookmarkEnd w:id="59"/>
    </w:p>
    <w:p w14:paraId="5ECB24B3">
      <w:pPr>
        <w:pStyle w:val="57"/>
        <w:widowControl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要考察人员素质、技术水平、营销能力、质量管理、过程控制、信用管理等多方面的竞争能力，包括核心管理者素质、主要管理层人员素质、技术机构设置、技术投入比率、科技奖励、知识产权及标准制定、主营业务、业务区域、主要客户依赖度、营业收入、质量管理体系、质量管理制度、质量保障管理、供应商管理、物流及仓储管理、客户管理、合同管理等情况。</w:t>
      </w:r>
    </w:p>
    <w:p w14:paraId="324BC1C4">
      <w:pPr>
        <w:pStyle w:val="3"/>
        <w:spacing w:before="0" w:after="0" w:line="480" w:lineRule="auto"/>
        <w:rPr>
          <w:rFonts w:hint="eastAsia" w:ascii="黑体" w:hAnsi="黑体"/>
          <w:b w:val="0"/>
          <w:color w:val="000000" w:themeColor="text1"/>
          <w:sz w:val="21"/>
          <w:szCs w:val="21"/>
          <w14:textFill>
            <w14:solidFill>
              <w14:schemeClr w14:val="tx1"/>
            </w14:solidFill>
          </w14:textFill>
        </w:rPr>
      </w:pPr>
      <w:bookmarkStart w:id="60" w:name="_Toc308523668"/>
      <w:bookmarkStart w:id="61" w:name="_Toc308523747"/>
      <w:bookmarkStart w:id="62" w:name="_Toc308523501"/>
      <w:bookmarkStart w:id="63" w:name="_Toc175673367"/>
      <w:bookmarkStart w:id="64" w:name="_Toc509587835"/>
      <w:r>
        <w:rPr>
          <w:rFonts w:ascii="黑体" w:hAnsi="黑体"/>
          <w:b w:val="0"/>
          <w:color w:val="000000" w:themeColor="text1"/>
          <w:sz w:val="21"/>
          <w:szCs w:val="21"/>
          <w:lang w:val="fr-FR"/>
          <w14:textFill>
            <w14:solidFill>
              <w14:schemeClr w14:val="tx1"/>
            </w14:solidFill>
          </w14:textFill>
        </w:rPr>
        <w:t>5.2</w:t>
      </w:r>
      <w:r>
        <w:rPr>
          <w:rFonts w:hint="eastAsia" w:ascii="黑体" w:hAnsi="黑体"/>
          <w:b w:val="0"/>
          <w:color w:val="000000" w:themeColor="text1"/>
          <w:sz w:val="21"/>
          <w:szCs w:val="21"/>
          <w:lang w:val="fr-FR"/>
          <w14:textFill>
            <w14:solidFill>
              <w14:schemeClr w14:val="tx1"/>
            </w14:solidFill>
          </w14:textFill>
        </w:rPr>
        <w:t>.</w:t>
      </w:r>
      <w:r>
        <w:rPr>
          <w:rFonts w:hint="eastAsia" w:ascii="黑体" w:hAnsi="黑体"/>
          <w:b w:val="0"/>
          <w:color w:val="000000" w:themeColor="text1"/>
          <w:sz w:val="21"/>
          <w:szCs w:val="21"/>
          <w14:textFill>
            <w14:solidFill>
              <w14:schemeClr w14:val="tx1"/>
            </w14:solidFill>
          </w14:textFill>
        </w:rPr>
        <w:t>4</w:t>
      </w:r>
      <w:r>
        <w:rPr>
          <w:rFonts w:ascii="黑体" w:hAnsi="黑体"/>
          <w:b w:val="0"/>
          <w:color w:val="000000" w:themeColor="text1"/>
          <w:sz w:val="21"/>
          <w:szCs w:val="21"/>
          <w:lang w:val="fr-FR"/>
          <w14:textFill>
            <w14:solidFill>
              <w14:schemeClr w14:val="tx1"/>
            </w14:solidFill>
          </w14:textFill>
        </w:rPr>
        <w:t xml:space="preserve"> </w:t>
      </w:r>
      <w:r>
        <w:rPr>
          <w:rFonts w:hint="eastAsia" w:ascii="黑体" w:hAnsi="黑体"/>
          <w:b w:val="0"/>
          <w:color w:val="000000" w:themeColor="text1"/>
          <w:sz w:val="21"/>
          <w:szCs w:val="21"/>
          <w14:textFill>
            <w14:solidFill>
              <w14:schemeClr w14:val="tx1"/>
            </w14:solidFill>
          </w14:textFill>
        </w:rPr>
        <w:t xml:space="preserve"> </w:t>
      </w:r>
      <w:bookmarkEnd w:id="60"/>
      <w:bookmarkEnd w:id="61"/>
      <w:bookmarkEnd w:id="62"/>
      <w:bookmarkStart w:id="65" w:name="_Toc308523514"/>
      <w:bookmarkStart w:id="66" w:name="_Toc308523760"/>
      <w:bookmarkStart w:id="67" w:name="_Toc308523681"/>
      <w:r>
        <w:rPr>
          <w:rFonts w:hint="eastAsia" w:ascii="黑体" w:hAnsi="黑体"/>
          <w:b w:val="0"/>
          <w:color w:val="000000" w:themeColor="text1"/>
          <w:sz w:val="21"/>
          <w:szCs w:val="21"/>
          <w14:textFill>
            <w14:solidFill>
              <w14:schemeClr w14:val="tx1"/>
            </w14:solidFill>
          </w14:textFill>
        </w:rPr>
        <w:t>财务实力指标</w:t>
      </w:r>
      <w:bookmarkEnd w:id="63"/>
    </w:p>
    <w:p w14:paraId="1F5554C5">
      <w:pPr>
        <w:pStyle w:val="57"/>
        <w:widowControl w:val="0"/>
        <w:ind w:firstLine="420"/>
      </w:pPr>
      <w:r>
        <w:rPr>
          <w:rFonts w:hint="eastAsia"/>
          <w:color w:val="000000" w:themeColor="text1"/>
          <w14:textFill>
            <w14:solidFill>
              <w14:schemeClr w14:val="tx1"/>
            </w14:solidFill>
          </w14:textFill>
        </w:rPr>
        <w:t>主要考察企业偿债、盈利、营运、成长方面的能力，包括</w:t>
      </w:r>
      <w:r>
        <w:rPr>
          <w:rFonts w:hint="eastAsia" w:hAnsi="宋体"/>
          <w:szCs w:val="18"/>
        </w:rPr>
        <w:t>现金流动负债比率</w:t>
      </w:r>
      <w:r>
        <w:rPr>
          <w:rFonts w:hint="eastAsia"/>
          <w:color w:val="000000" w:themeColor="text1"/>
          <w14:textFill>
            <w14:solidFill>
              <w14:schemeClr w14:val="tx1"/>
            </w14:solidFill>
          </w14:textFill>
        </w:rPr>
        <w:t>、速动比率（倍）、资产负债率、净利率、净资产收益率、总资产报酬率、应收账款周转率（次）、存货周转率（次）、总资产周转率（次）、总资产增长率、净利润增长率、营业收入增长率等。其中，财务实力指标计算方法见附录</w:t>
      </w:r>
      <w:r>
        <w:rPr>
          <w:rFonts w:ascii="Times New Roman"/>
          <w:color w:val="000000" w:themeColor="text1"/>
          <w14:textFill>
            <w14:solidFill>
              <w14:schemeClr w14:val="tx1"/>
            </w14:solidFill>
          </w14:textFill>
        </w:rPr>
        <w:t>B</w:t>
      </w:r>
      <w:r>
        <w:rPr>
          <w:rFonts w:hint="eastAsia"/>
          <w:color w:val="000000" w:themeColor="text1"/>
          <w14:textFill>
            <w14:solidFill>
              <w14:schemeClr w14:val="tx1"/>
            </w14:solidFill>
          </w14:textFill>
        </w:rPr>
        <w:t>。</w:t>
      </w:r>
    </w:p>
    <w:p w14:paraId="27A1D7DE">
      <w:pPr>
        <w:pStyle w:val="3"/>
        <w:spacing w:before="0" w:after="0" w:line="480" w:lineRule="auto"/>
        <w:rPr>
          <w:rFonts w:hint="eastAsia" w:ascii="黑体" w:hAnsi="黑体"/>
          <w:b w:val="0"/>
          <w:sz w:val="21"/>
          <w:szCs w:val="21"/>
          <w:lang w:val="fr-FR"/>
        </w:rPr>
      </w:pPr>
      <w:bookmarkStart w:id="68" w:name="_Toc175673368"/>
      <w:r>
        <w:rPr>
          <w:rFonts w:hint="eastAsia" w:ascii="黑体" w:hAnsi="黑体"/>
          <w:b w:val="0"/>
          <w:sz w:val="21"/>
          <w:szCs w:val="21"/>
        </w:rPr>
        <w:t xml:space="preserve">5.2.5  </w:t>
      </w:r>
      <w:r>
        <w:rPr>
          <w:rFonts w:hint="eastAsia" w:ascii="黑体" w:hAnsi="黑体"/>
          <w:b w:val="0"/>
          <w:sz w:val="21"/>
          <w:szCs w:val="21"/>
          <w:lang w:val="fr-FR"/>
        </w:rPr>
        <w:t>社会</w:t>
      </w:r>
      <w:bookmarkEnd w:id="65"/>
      <w:bookmarkEnd w:id="66"/>
      <w:bookmarkEnd w:id="67"/>
      <w:r>
        <w:rPr>
          <w:rFonts w:hint="eastAsia" w:ascii="黑体" w:hAnsi="黑体"/>
          <w:b w:val="0"/>
          <w:sz w:val="21"/>
          <w:szCs w:val="21"/>
          <w:lang w:val="fr-FR"/>
        </w:rPr>
        <w:t>责任指标</w:t>
      </w:r>
      <w:bookmarkEnd w:id="64"/>
      <w:bookmarkEnd w:id="68"/>
    </w:p>
    <w:p w14:paraId="06E33260">
      <w:pPr>
        <w:pStyle w:val="57"/>
        <w:widowControl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主要考察企业在其</w:t>
      </w:r>
      <w:r>
        <w:fldChar w:fldCharType="begin"/>
      </w:r>
      <w:r>
        <w:instrText xml:space="preserve"> HYPERLINK "http://wiki.mbalib.com/wiki/%E5%95%86%E4%B8%9A%E8%BF%90%E4%BD%9C" \o "商业运作" </w:instrText>
      </w:r>
      <w:r>
        <w:fldChar w:fldCharType="separate"/>
      </w:r>
      <w:r>
        <w:rPr>
          <w:rFonts w:hint="eastAsia"/>
          <w:color w:val="000000" w:themeColor="text1"/>
          <w14:textFill>
            <w14:solidFill>
              <w14:schemeClr w14:val="tx1"/>
            </w14:solidFill>
          </w14:textFill>
        </w:rPr>
        <w:t>商业运作</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里对其利害关系人应负的责任和其对社会所造成的影响，包括企业在行政管理部门等的公共信用记录、社会贡献记录、企业对员工信用记录等方面。</w:t>
      </w:r>
    </w:p>
    <w:p w14:paraId="55102E5E">
      <w:pPr>
        <w:pStyle w:val="2"/>
        <w:spacing w:before="0" w:after="0" w:line="720" w:lineRule="auto"/>
        <w:rPr>
          <w:rFonts w:hint="eastAsia" w:ascii="黑体" w:hAnsi="黑体" w:eastAsia="黑体"/>
          <w:b w:val="0"/>
          <w:sz w:val="21"/>
          <w:szCs w:val="21"/>
        </w:rPr>
      </w:pPr>
      <w:bookmarkStart w:id="69" w:name="_Toc175673369"/>
      <w:r>
        <w:rPr>
          <w:rFonts w:hint="eastAsia" w:ascii="黑体" w:hAnsi="黑体" w:eastAsia="黑体"/>
          <w:b w:val="0"/>
          <w:sz w:val="21"/>
          <w:szCs w:val="21"/>
        </w:rPr>
        <w:t>6  其他评价内容</w:t>
      </w:r>
      <w:bookmarkEnd w:id="69"/>
    </w:p>
    <w:p w14:paraId="68CFAD67">
      <w:pPr>
        <w:pStyle w:val="57"/>
        <w:tabs>
          <w:tab w:val="left" w:pos="284"/>
          <w:tab w:val="left" w:pos="567"/>
        </w:tabs>
        <w:ind w:firstLine="420"/>
        <w:rPr>
          <w:lang w:val="fr-FR"/>
        </w:rPr>
      </w:pPr>
      <w:r>
        <w:rPr>
          <w:rFonts w:hint="eastAsia"/>
          <w:lang w:val="fr-FR"/>
        </w:rPr>
        <w:t>其他评价内容包括但不限于以下内容：</w:t>
      </w:r>
    </w:p>
    <w:p w14:paraId="023C3FC8">
      <w:pPr>
        <w:pStyle w:val="57"/>
        <w:tabs>
          <w:tab w:val="left" w:pos="284"/>
          <w:tab w:val="left" w:pos="567"/>
        </w:tabs>
        <w:ind w:firstLine="420"/>
        <w:rPr>
          <w:lang w:val="fr-FR"/>
        </w:rPr>
      </w:pPr>
      <w:r>
        <w:rPr>
          <w:rFonts w:hint="eastAsia"/>
          <w:lang w:val="fr-FR"/>
        </w:rPr>
        <w:t>a)</w:t>
      </w:r>
      <w:r>
        <w:rPr>
          <w:rFonts w:hint="eastAsia"/>
          <w:lang w:val="fr-FR"/>
        </w:rPr>
        <w:tab/>
      </w:r>
      <w:r>
        <w:rPr>
          <w:rFonts w:hint="eastAsia"/>
          <w:lang w:val="fr-FR"/>
        </w:rPr>
        <w:t>与相关的国家法律法规和其他要求符合性的情况；</w:t>
      </w:r>
    </w:p>
    <w:p w14:paraId="5C679CB1">
      <w:pPr>
        <w:pStyle w:val="57"/>
        <w:tabs>
          <w:tab w:val="left" w:pos="284"/>
          <w:tab w:val="left" w:pos="567"/>
        </w:tabs>
        <w:ind w:firstLine="420"/>
        <w:rPr>
          <w:lang w:val="fr-FR"/>
        </w:rPr>
      </w:pPr>
      <w:r>
        <w:rPr>
          <w:rFonts w:hint="eastAsia"/>
          <w:lang w:val="fr-FR"/>
        </w:rPr>
        <w:t>b)</w:t>
      </w:r>
      <w:r>
        <w:rPr>
          <w:rFonts w:hint="eastAsia"/>
          <w:lang w:val="fr-FR"/>
        </w:rPr>
        <w:tab/>
      </w:r>
      <w:r>
        <w:rPr>
          <w:rFonts w:hint="eastAsia"/>
          <w:lang w:val="fr-FR"/>
        </w:rPr>
        <w:t>信用管理与评价规范的符合性、适宜性、充分性和有效性；</w:t>
      </w:r>
    </w:p>
    <w:p w14:paraId="0DF3259F">
      <w:pPr>
        <w:pStyle w:val="57"/>
        <w:tabs>
          <w:tab w:val="left" w:pos="284"/>
        </w:tabs>
        <w:ind w:firstLine="420"/>
        <w:rPr>
          <w:lang w:val="fr-FR"/>
        </w:rPr>
      </w:pPr>
      <w:r>
        <w:rPr>
          <w:rFonts w:hint="eastAsia"/>
          <w:lang w:val="fr-FR"/>
        </w:rPr>
        <w:t>c)</w:t>
      </w:r>
      <w:r>
        <w:rPr>
          <w:rFonts w:hint="eastAsia"/>
          <w:lang w:val="fr-FR"/>
        </w:rPr>
        <w:tab/>
      </w:r>
      <w:r>
        <w:rPr>
          <w:rFonts w:hint="eastAsia"/>
          <w:lang w:val="fr-FR"/>
        </w:rPr>
        <w:t>人员及资源配置与管理；</w:t>
      </w:r>
    </w:p>
    <w:p w14:paraId="43F6FDC8">
      <w:pPr>
        <w:pStyle w:val="57"/>
        <w:tabs>
          <w:tab w:val="left" w:pos="284"/>
          <w:tab w:val="left" w:pos="567"/>
        </w:tabs>
        <w:ind w:firstLine="420"/>
        <w:rPr>
          <w:lang w:val="fr-FR"/>
        </w:rPr>
      </w:pPr>
      <w:r>
        <w:rPr>
          <w:rFonts w:hint="eastAsia"/>
          <w:lang w:val="fr-FR"/>
        </w:rPr>
        <w:t>d)</w:t>
      </w:r>
      <w:r>
        <w:rPr>
          <w:rFonts w:hint="eastAsia"/>
          <w:lang w:val="fr-FR"/>
        </w:rPr>
        <w:tab/>
      </w:r>
      <w:r>
        <w:rPr>
          <w:rFonts w:hint="eastAsia"/>
          <w:lang w:val="fr-FR"/>
        </w:rPr>
        <w:t>产品或服务活动控制及其运行管理情况；</w:t>
      </w:r>
    </w:p>
    <w:p w14:paraId="7572C442">
      <w:pPr>
        <w:pStyle w:val="57"/>
        <w:tabs>
          <w:tab w:val="left" w:pos="284"/>
          <w:tab w:val="left" w:pos="567"/>
        </w:tabs>
        <w:ind w:firstLine="420"/>
        <w:rPr>
          <w:lang w:val="fr-FR"/>
        </w:rPr>
      </w:pPr>
      <w:r>
        <w:rPr>
          <w:rFonts w:hint="eastAsia"/>
          <w:lang w:val="fr-FR"/>
        </w:rPr>
        <w:t>e)</w:t>
      </w:r>
      <w:r>
        <w:rPr>
          <w:rFonts w:hint="eastAsia"/>
          <w:lang w:val="fr-FR"/>
        </w:rPr>
        <w:tab/>
      </w:r>
      <w:r>
        <w:rPr>
          <w:rFonts w:hint="eastAsia"/>
          <w:lang w:val="fr-FR"/>
        </w:rPr>
        <w:t>产品或服务目标和绩效指标的实现情况；</w:t>
      </w:r>
    </w:p>
    <w:p w14:paraId="4EE019AD">
      <w:pPr>
        <w:pStyle w:val="57"/>
        <w:tabs>
          <w:tab w:val="left" w:pos="284"/>
          <w:tab w:val="left" w:pos="567"/>
        </w:tabs>
        <w:ind w:firstLine="420"/>
        <w:rPr>
          <w:lang w:val="fr-FR"/>
        </w:rPr>
      </w:pPr>
      <w:r>
        <w:rPr>
          <w:rFonts w:hint="eastAsia"/>
          <w:lang w:val="fr-FR"/>
        </w:rPr>
        <w:t>f)</w:t>
      </w:r>
      <w:r>
        <w:rPr>
          <w:rFonts w:hint="eastAsia"/>
          <w:lang w:val="fr-FR"/>
        </w:rPr>
        <w:tab/>
      </w:r>
      <w:r>
        <w:rPr>
          <w:rFonts w:hint="eastAsia"/>
          <w:lang w:val="fr-FR"/>
        </w:rPr>
        <w:t>对产品或服务中断或意外事件的响应和服务补救措施；</w:t>
      </w:r>
    </w:p>
    <w:p w14:paraId="0645EBE0">
      <w:pPr>
        <w:pStyle w:val="57"/>
        <w:tabs>
          <w:tab w:val="left" w:pos="284"/>
          <w:tab w:val="left" w:pos="567"/>
        </w:tabs>
        <w:ind w:firstLine="420"/>
        <w:rPr>
          <w:lang w:val="fr-FR"/>
        </w:rPr>
      </w:pPr>
      <w:r>
        <w:rPr>
          <w:rFonts w:hint="eastAsia"/>
          <w:lang w:val="fr-FR"/>
        </w:rPr>
        <w:t>g)</w:t>
      </w:r>
      <w:r>
        <w:rPr>
          <w:rFonts w:hint="eastAsia"/>
          <w:lang w:val="fr-FR"/>
        </w:rPr>
        <w:tab/>
      </w:r>
      <w:r>
        <w:rPr>
          <w:rFonts w:hint="eastAsia"/>
          <w:lang w:val="fr-FR"/>
        </w:rPr>
        <w:t>投诉和相关争议的处理；</w:t>
      </w:r>
    </w:p>
    <w:p w14:paraId="4376A4AD">
      <w:pPr>
        <w:pStyle w:val="57"/>
        <w:tabs>
          <w:tab w:val="left" w:pos="284"/>
          <w:tab w:val="left" w:pos="567"/>
        </w:tabs>
        <w:ind w:firstLine="420"/>
        <w:rPr>
          <w:lang w:val="fr-FR"/>
        </w:rPr>
      </w:pPr>
      <w:r>
        <w:rPr>
          <w:rFonts w:hint="eastAsia"/>
          <w:lang w:val="fr-FR"/>
        </w:rPr>
        <w:t>h)</w:t>
      </w:r>
      <w:r>
        <w:rPr>
          <w:rFonts w:hint="eastAsia"/>
          <w:lang w:val="fr-FR"/>
        </w:rPr>
        <w:tab/>
      </w:r>
      <w:r>
        <w:rPr>
          <w:rFonts w:hint="eastAsia"/>
          <w:lang w:val="fr-FR"/>
        </w:rPr>
        <w:t>自我改进及完善机制的持续性和有效性；</w:t>
      </w:r>
    </w:p>
    <w:p w14:paraId="39985272">
      <w:pPr>
        <w:pStyle w:val="57"/>
        <w:tabs>
          <w:tab w:val="left" w:pos="284"/>
          <w:tab w:val="left" w:pos="567"/>
        </w:tabs>
        <w:ind w:firstLine="420"/>
        <w:rPr>
          <w:lang w:val="fr-FR"/>
        </w:rPr>
      </w:pPr>
      <w:r>
        <w:rPr>
          <w:rFonts w:hint="eastAsia"/>
          <w:lang w:val="fr-FR"/>
        </w:rPr>
        <w:t>i)</w:t>
      </w:r>
      <w:r>
        <w:rPr>
          <w:rFonts w:hint="eastAsia"/>
          <w:lang w:val="fr-FR"/>
        </w:rPr>
        <w:tab/>
      </w:r>
      <w:r>
        <w:rPr>
          <w:rFonts w:hint="eastAsia"/>
          <w:lang w:val="fr-FR"/>
        </w:rPr>
        <w:t>失信处置；</w:t>
      </w:r>
    </w:p>
    <w:p w14:paraId="239FB1D6">
      <w:pPr>
        <w:pStyle w:val="57"/>
        <w:tabs>
          <w:tab w:val="left" w:pos="284"/>
          <w:tab w:val="left" w:pos="567"/>
        </w:tabs>
        <w:ind w:firstLine="420"/>
        <w:rPr>
          <w:lang w:val="fr-FR"/>
        </w:rPr>
      </w:pPr>
      <w:r>
        <w:rPr>
          <w:rFonts w:hint="eastAsia"/>
          <w:lang w:val="fr-FR"/>
        </w:rPr>
        <w:t>j)</w:t>
      </w:r>
      <w:r>
        <w:rPr>
          <w:rFonts w:hint="eastAsia"/>
          <w:lang w:val="fr-FR"/>
        </w:rPr>
        <w:tab/>
      </w:r>
      <w:r>
        <w:rPr>
          <w:rFonts w:hint="eastAsia"/>
          <w:lang w:val="fr-FR"/>
        </w:rPr>
        <w:t>结合内部和外部变化情况判断企业信用管理全过程的有效性以及评价范围的持续适宜性；</w:t>
      </w:r>
    </w:p>
    <w:p w14:paraId="40763117">
      <w:pPr>
        <w:pStyle w:val="57"/>
        <w:widowControl w:val="0"/>
        <w:tabs>
          <w:tab w:val="left" w:pos="284"/>
          <w:tab w:val="left" w:pos="567"/>
        </w:tabs>
        <w:ind w:firstLine="420"/>
        <w:rPr>
          <w:lang w:val="fr-FR"/>
        </w:rPr>
      </w:pPr>
      <w:r>
        <w:rPr>
          <w:rFonts w:hint="eastAsia"/>
        </w:rPr>
        <w:t>l</w:t>
      </w:r>
      <w:r>
        <w:rPr>
          <w:rFonts w:hint="eastAsia"/>
          <w:lang w:val="fr-FR"/>
        </w:rPr>
        <w:t>)</w:t>
      </w:r>
      <w:r>
        <w:rPr>
          <w:rFonts w:hint="eastAsia"/>
          <w:lang w:val="fr-FR"/>
        </w:rPr>
        <w:tab/>
      </w:r>
      <w:r>
        <w:rPr>
          <w:rFonts w:hint="eastAsia"/>
          <w:lang w:val="fr-FR"/>
        </w:rPr>
        <w:t>评价周期内企业信用管理各项绩效的变化和实现情况等。</w:t>
      </w:r>
    </w:p>
    <w:p w14:paraId="11460ABD">
      <w:pPr>
        <w:pStyle w:val="2"/>
        <w:spacing w:before="0" w:after="0" w:line="720" w:lineRule="auto"/>
        <w:rPr>
          <w:rFonts w:hint="eastAsia" w:ascii="黑体" w:hAnsi="黑体" w:eastAsia="黑体"/>
          <w:b w:val="0"/>
          <w:sz w:val="21"/>
          <w:szCs w:val="21"/>
        </w:rPr>
      </w:pPr>
      <w:bookmarkStart w:id="70" w:name="_Toc175673370"/>
      <w:r>
        <w:rPr>
          <w:rFonts w:hint="eastAsia" w:ascii="黑体" w:hAnsi="黑体" w:eastAsia="黑体"/>
          <w:b w:val="0"/>
          <w:sz w:val="21"/>
          <w:szCs w:val="21"/>
        </w:rPr>
        <w:t>7  信用等级划分</w:t>
      </w:r>
      <w:bookmarkEnd w:id="70"/>
    </w:p>
    <w:p w14:paraId="47169DCC">
      <w:pPr>
        <w:pStyle w:val="3"/>
        <w:spacing w:before="0" w:after="0" w:line="480" w:lineRule="auto"/>
        <w:rPr>
          <w:rFonts w:hint="eastAsia" w:ascii="黑体" w:hAnsi="黑体"/>
          <w:b w:val="0"/>
          <w:sz w:val="21"/>
          <w:szCs w:val="21"/>
          <w:lang w:val="fr-FR"/>
        </w:rPr>
      </w:pPr>
      <w:bookmarkStart w:id="71" w:name="_Toc509587837"/>
      <w:bookmarkStart w:id="72" w:name="_Toc175673371"/>
      <w:r>
        <w:rPr>
          <w:rFonts w:hint="eastAsia" w:ascii="黑体" w:hAnsi="黑体"/>
          <w:b w:val="0"/>
          <w:sz w:val="21"/>
          <w:szCs w:val="21"/>
          <w:lang w:val="fr-FR"/>
        </w:rPr>
        <w:t>7</w:t>
      </w:r>
      <w:r>
        <w:rPr>
          <w:rFonts w:ascii="黑体" w:hAnsi="黑体"/>
          <w:b w:val="0"/>
          <w:sz w:val="21"/>
          <w:szCs w:val="21"/>
          <w:lang w:val="fr-FR"/>
        </w:rPr>
        <w:t>.1</w:t>
      </w:r>
      <w:r>
        <w:rPr>
          <w:rFonts w:hint="eastAsia" w:ascii="黑体" w:hAnsi="黑体"/>
          <w:b w:val="0"/>
          <w:sz w:val="21"/>
          <w:szCs w:val="21"/>
        </w:rPr>
        <w:t xml:space="preserve">  </w:t>
      </w:r>
      <w:r>
        <w:rPr>
          <w:rFonts w:hint="eastAsia" w:ascii="黑体" w:hAnsi="黑体"/>
          <w:b w:val="0"/>
          <w:sz w:val="21"/>
          <w:szCs w:val="21"/>
          <w:lang w:val="fr-FR"/>
        </w:rPr>
        <w:t>划分依据</w:t>
      </w:r>
      <w:bookmarkEnd w:id="71"/>
      <w:bookmarkEnd w:id="72"/>
    </w:p>
    <w:p w14:paraId="49B06A3C">
      <w:pPr>
        <w:pStyle w:val="57"/>
        <w:widowControl w:val="0"/>
        <w:ind w:firstLine="420"/>
      </w:pPr>
      <w:r>
        <w:rPr>
          <w:rFonts w:hint="eastAsia"/>
        </w:rPr>
        <w:t>砂石企业信用等级的划分应符合</w:t>
      </w:r>
      <w:r>
        <w:rPr>
          <w:rFonts w:ascii="Times New Roman"/>
        </w:rPr>
        <w:t>GB/T</w:t>
      </w:r>
      <w:r>
        <w:t xml:space="preserve"> 22116</w:t>
      </w:r>
      <w:r>
        <w:rPr>
          <w:rFonts w:hint="eastAsia"/>
        </w:rPr>
        <w:t>的规定。</w:t>
      </w:r>
    </w:p>
    <w:p w14:paraId="0FE85272">
      <w:pPr>
        <w:pStyle w:val="3"/>
        <w:spacing w:before="0" w:after="0" w:line="480" w:lineRule="auto"/>
        <w:rPr>
          <w:rFonts w:hint="eastAsia" w:ascii="黑体" w:hAnsi="黑体"/>
          <w:b w:val="0"/>
          <w:sz w:val="21"/>
          <w:szCs w:val="21"/>
          <w:lang w:val="fr-FR"/>
        </w:rPr>
      </w:pPr>
      <w:bookmarkStart w:id="73" w:name="_Toc175673372"/>
      <w:bookmarkStart w:id="74" w:name="_Toc509587838"/>
      <w:r>
        <w:rPr>
          <w:rFonts w:hint="eastAsia" w:ascii="黑体" w:hAnsi="黑体"/>
          <w:b w:val="0"/>
          <w:sz w:val="21"/>
          <w:szCs w:val="21"/>
          <w:lang w:val="fr-FR"/>
        </w:rPr>
        <w:t>7</w:t>
      </w:r>
      <w:r>
        <w:rPr>
          <w:rFonts w:ascii="黑体" w:hAnsi="黑体"/>
          <w:b w:val="0"/>
          <w:sz w:val="21"/>
          <w:szCs w:val="21"/>
          <w:lang w:val="fr-FR"/>
        </w:rPr>
        <w:t>.2</w:t>
      </w:r>
      <w:r>
        <w:rPr>
          <w:rFonts w:hint="eastAsia" w:ascii="黑体" w:hAnsi="黑体"/>
          <w:b w:val="0"/>
          <w:sz w:val="21"/>
          <w:szCs w:val="21"/>
        </w:rPr>
        <w:t xml:space="preserve">  </w:t>
      </w:r>
      <w:r>
        <w:rPr>
          <w:rFonts w:hint="eastAsia" w:ascii="黑体" w:hAnsi="黑体"/>
          <w:b w:val="0"/>
          <w:sz w:val="21"/>
          <w:szCs w:val="21"/>
          <w:lang w:val="fr-FR"/>
        </w:rPr>
        <w:t>划分细则</w:t>
      </w:r>
      <w:bookmarkEnd w:id="73"/>
      <w:bookmarkEnd w:id="74"/>
    </w:p>
    <w:p w14:paraId="5EAFA04D">
      <w:pPr>
        <w:pStyle w:val="57"/>
        <w:widowControl w:val="0"/>
        <w:ind w:firstLine="420"/>
        <w:rPr>
          <w:rFonts w:hint="eastAsia" w:hAnsi="宋体"/>
        </w:rPr>
      </w:pPr>
      <w:r>
        <w:rPr>
          <w:rFonts w:hint="eastAsia" w:hAnsi="宋体"/>
        </w:rPr>
        <w:t>砂石企业信用等级从高到低分划为</w:t>
      </w:r>
      <w:r>
        <w:rPr>
          <w:rFonts w:ascii="Times New Roman"/>
        </w:rPr>
        <w:t>AAA</w:t>
      </w:r>
      <w:r>
        <w:rPr>
          <w:rFonts w:ascii="Times New Roman" w:hAnsi="宋体"/>
        </w:rPr>
        <w:t>、</w:t>
      </w:r>
      <w:r>
        <w:rPr>
          <w:rFonts w:ascii="Times New Roman"/>
        </w:rPr>
        <w:t>AA</w:t>
      </w:r>
      <w:r>
        <w:rPr>
          <w:rFonts w:ascii="Times New Roman" w:hAnsi="宋体"/>
        </w:rPr>
        <w:t>、</w:t>
      </w:r>
      <w:r>
        <w:rPr>
          <w:rFonts w:ascii="Times New Roman"/>
        </w:rPr>
        <w:t>A</w:t>
      </w:r>
      <w:r>
        <w:rPr>
          <w:rFonts w:ascii="Times New Roman" w:hAnsi="宋体"/>
        </w:rPr>
        <w:t>、</w:t>
      </w:r>
      <w:r>
        <w:rPr>
          <w:rFonts w:ascii="Times New Roman"/>
        </w:rPr>
        <w:t>B</w:t>
      </w:r>
      <w:r>
        <w:rPr>
          <w:rFonts w:ascii="Times New Roman" w:hAnsi="宋体"/>
        </w:rPr>
        <w:t>、</w:t>
      </w:r>
      <w:r>
        <w:rPr>
          <w:rFonts w:ascii="Times New Roman"/>
        </w:rPr>
        <w:t>C</w:t>
      </w:r>
      <w:r>
        <w:rPr>
          <w:rFonts w:hint="eastAsia" w:hAnsi="宋体"/>
        </w:rPr>
        <w:t>三等五级。其评价等级划分细则见附录</w:t>
      </w:r>
      <w:r>
        <w:rPr>
          <w:rFonts w:ascii="Times New Roman"/>
        </w:rPr>
        <w:t>C</w:t>
      </w:r>
      <w:r>
        <w:rPr>
          <w:rFonts w:hint="eastAsia" w:hAnsi="宋体"/>
        </w:rPr>
        <w:t>。</w:t>
      </w:r>
    </w:p>
    <w:p w14:paraId="12A58F5B">
      <w:pPr>
        <w:pStyle w:val="2"/>
        <w:spacing w:before="0" w:after="0" w:line="720" w:lineRule="auto"/>
        <w:rPr>
          <w:rFonts w:hint="eastAsia" w:ascii="黑体" w:hAnsi="黑体" w:eastAsia="黑体"/>
          <w:b w:val="0"/>
          <w:sz w:val="21"/>
          <w:szCs w:val="21"/>
        </w:rPr>
      </w:pPr>
      <w:bookmarkStart w:id="75" w:name="_Toc99480554"/>
      <w:bookmarkStart w:id="76" w:name="_Toc175673373"/>
      <w:bookmarkStart w:id="77" w:name="_Toc105423186"/>
      <w:r>
        <w:rPr>
          <w:rFonts w:hint="eastAsia" w:ascii="黑体" w:hAnsi="黑体" w:eastAsia="黑体"/>
          <w:b w:val="0"/>
          <w:sz w:val="21"/>
          <w:szCs w:val="21"/>
        </w:rPr>
        <w:t>8  信用评价结果公示</w:t>
      </w:r>
      <w:bookmarkEnd w:id="75"/>
      <w:bookmarkEnd w:id="76"/>
      <w:bookmarkEnd w:id="77"/>
    </w:p>
    <w:p w14:paraId="74794051">
      <w:pPr>
        <w:pStyle w:val="118"/>
        <w:ind w:firstLine="420"/>
      </w:pPr>
      <w:r>
        <w:rPr>
          <w:rFonts w:hint="eastAsia"/>
        </w:rPr>
        <w:t>信用评价结果在中国砂石协会官网进行公示，并向社会公众开放查询权限。</w:t>
      </w:r>
    </w:p>
    <w:p w14:paraId="6AA54E59">
      <w:pPr>
        <w:pStyle w:val="2"/>
        <w:spacing w:before="0" w:after="0" w:line="720" w:lineRule="auto"/>
        <w:rPr>
          <w:rFonts w:hint="eastAsia" w:ascii="黑体" w:hAnsi="黑体" w:eastAsia="黑体"/>
          <w:b w:val="0"/>
          <w:sz w:val="21"/>
          <w:szCs w:val="21"/>
        </w:rPr>
      </w:pPr>
      <w:bookmarkStart w:id="78" w:name="_Toc105423187"/>
      <w:bookmarkStart w:id="79" w:name="_Toc175673374"/>
      <w:r>
        <w:rPr>
          <w:rFonts w:hint="eastAsia" w:ascii="黑体" w:hAnsi="黑体" w:eastAsia="黑体"/>
          <w:b w:val="0"/>
          <w:sz w:val="21"/>
          <w:szCs w:val="21"/>
        </w:rPr>
        <w:t>9  特别说明</w:t>
      </w:r>
      <w:bookmarkEnd w:id="78"/>
      <w:bookmarkEnd w:id="79"/>
    </w:p>
    <w:p w14:paraId="62BB8DF6">
      <w:pPr>
        <w:pStyle w:val="57"/>
        <w:spacing w:line="400" w:lineRule="exact"/>
        <w:ind w:firstLine="420"/>
        <w:rPr>
          <w:rFonts w:hint="eastAsia" w:hAnsi="宋体"/>
        </w:rPr>
      </w:pPr>
      <w:r>
        <w:rPr>
          <w:rFonts w:hint="eastAsia"/>
        </w:rPr>
        <w:t>砂石企业信用等级评价工作以本团体标准为参照，以附表所列评价指标及说明为依据，具体涉及某特定领域时将根据此文件和相应领域的管理办法作专项调整。</w:t>
      </w:r>
    </w:p>
    <w:p w14:paraId="50420A35">
      <w:pPr>
        <w:pStyle w:val="57"/>
        <w:tabs>
          <w:tab w:val="left" w:pos="3990"/>
        </w:tabs>
        <w:ind w:firstLine="420"/>
      </w:pPr>
      <w:r>
        <w:tab/>
      </w:r>
    </w:p>
    <w:p w14:paraId="42C0B2B7">
      <w:pPr>
        <w:tabs>
          <w:tab w:val="left" w:pos="3990"/>
          <w:tab w:val="left" w:pos="6720"/>
        </w:tabs>
        <w:sectPr>
          <w:headerReference r:id="rId11" w:type="default"/>
          <w:footerReference r:id="rId13" w:type="default"/>
          <w:headerReference r:id="rId12" w:type="even"/>
          <w:footerReference r:id="rId14" w:type="even"/>
          <w:pgSz w:w="11907" w:h="16839"/>
          <w:pgMar w:top="1985" w:right="1134" w:bottom="1134" w:left="1134" w:header="1418" w:footer="851" w:gutter="284"/>
          <w:pgNumType w:start="1"/>
          <w:cols w:space="720" w:num="1"/>
          <w:docGrid w:type="linesAndChars" w:linePitch="312" w:charSpace="0"/>
        </w:sectPr>
      </w:pPr>
      <w:r>
        <w:tab/>
      </w:r>
      <w:r>
        <w:tab/>
      </w:r>
    </w:p>
    <w:p w14:paraId="41EDCF8C">
      <w:pPr>
        <w:pStyle w:val="62"/>
        <w:tabs>
          <w:tab w:val="left" w:pos="0"/>
          <w:tab w:val="clear" w:pos="360"/>
        </w:tabs>
        <w:spacing w:beforeLines="0" w:afterLines="0"/>
        <w:ind w:left="-2" w:leftChars="-1"/>
        <w:jc w:val="center"/>
        <w:outlineLvl w:val="0"/>
        <w:rPr>
          <w:rFonts w:hint="eastAsia" w:hAnsi="黑体"/>
        </w:rPr>
      </w:pPr>
      <w:bookmarkStart w:id="80" w:name="_Toc175673375"/>
      <w:bookmarkStart w:id="81" w:name="_Toc499857642"/>
      <w:r>
        <w:rPr>
          <w:rFonts w:hint="eastAsia"/>
          <w:bCs/>
        </w:rPr>
        <w:t>附</w:t>
      </w:r>
      <w:r>
        <w:rPr>
          <w:bCs/>
        </w:rPr>
        <w:t xml:space="preserve">   </w:t>
      </w:r>
      <w:r>
        <w:rPr>
          <w:rFonts w:hint="eastAsia"/>
          <w:bCs/>
        </w:rPr>
        <w:t>录</w:t>
      </w:r>
      <w:r>
        <w:rPr>
          <w:bCs/>
        </w:rPr>
        <w:t xml:space="preserve">   </w:t>
      </w:r>
      <w:r>
        <w:rPr>
          <w:rFonts w:ascii="Times New Roman"/>
          <w:bCs/>
        </w:rPr>
        <w:t>A</w:t>
      </w:r>
      <w:r>
        <w:rPr>
          <w:b/>
          <w:bCs/>
        </w:rPr>
        <w:br w:type="textWrapping"/>
      </w:r>
      <w:r>
        <w:rPr>
          <w:rFonts w:hint="eastAsia" w:hAnsi="黑体"/>
        </w:rPr>
        <w:t>（规范性）</w:t>
      </w:r>
      <w:r>
        <w:rPr>
          <w:rFonts w:hAnsi="黑体"/>
        </w:rPr>
        <w:br w:type="textWrapping"/>
      </w:r>
      <w:r>
        <w:rPr>
          <w:rFonts w:hint="eastAsia" w:hAnsi="黑体"/>
        </w:rPr>
        <w:t>砂石企业信用等级评价指标体系</w:t>
      </w:r>
      <w:bookmarkEnd w:id="80"/>
      <w:bookmarkEnd w:id="81"/>
    </w:p>
    <w:p w14:paraId="6D3E12A3">
      <w:pPr>
        <w:pStyle w:val="57"/>
        <w:ind w:left="420" w:firstLine="0" w:firstLineChars="0"/>
      </w:pPr>
      <w:bookmarkStart w:id="93" w:name="_GoBack"/>
      <w:bookmarkEnd w:id="93"/>
    </w:p>
    <w:p w14:paraId="5B400AFE">
      <w:pPr>
        <w:pStyle w:val="57"/>
        <w:ind w:firstLine="420"/>
      </w:pPr>
      <w:r>
        <w:rPr>
          <w:rFonts w:hint="eastAsia"/>
        </w:rPr>
        <w:t>A.1  砂石企业信用等级评价指标体系见表A.1。</w:t>
      </w:r>
    </w:p>
    <w:p w14:paraId="42F2AA02">
      <w:pPr>
        <w:spacing w:before="156" w:beforeLines="50" w:after="156" w:afterLines="50"/>
        <w:jc w:val="center"/>
        <w:rPr>
          <w:rFonts w:hint="eastAsia" w:ascii="黑体" w:hAnsi="黑体" w:eastAsia="黑体"/>
        </w:rPr>
      </w:pPr>
      <w:r>
        <w:rPr>
          <w:rFonts w:hint="eastAsia" w:ascii="黑体" w:hAnsi="黑体" w:eastAsia="黑体"/>
        </w:rPr>
        <w:t>表</w:t>
      </w:r>
      <w:r>
        <w:rPr>
          <w:rFonts w:eastAsia="黑体"/>
        </w:rPr>
        <w:t>A</w:t>
      </w:r>
      <w:r>
        <w:rPr>
          <w:rFonts w:hint="eastAsia" w:ascii="黑体" w:hAnsi="黑体" w:eastAsia="黑体"/>
        </w:rPr>
        <w:t>.1  砂石企业信用等级评价指标体系</w:t>
      </w:r>
    </w:p>
    <w:bookmarkEnd w:id="2"/>
    <w:tbl>
      <w:tblPr>
        <w:tblStyle w:val="34"/>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1302"/>
        <w:gridCol w:w="1544"/>
        <w:gridCol w:w="2103"/>
        <w:gridCol w:w="891"/>
        <w:gridCol w:w="3017"/>
        <w:gridCol w:w="5684"/>
      </w:tblGrid>
      <w:tr w14:paraId="655333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84" w:hRule="atLeast"/>
          <w:tblHeader/>
        </w:trPr>
        <w:tc>
          <w:tcPr>
            <w:tcW w:w="1302" w:type="dxa"/>
            <w:noWrap/>
          </w:tcPr>
          <w:p w14:paraId="7270F29A">
            <w:pPr>
              <w:spacing w:before="156" w:beforeLines="50" w:after="156" w:afterLines="50"/>
              <w:jc w:val="center"/>
              <w:rPr>
                <w:rFonts w:hint="eastAsia" w:ascii="宋体" w:hAnsi="宋体"/>
                <w:b/>
                <w:bCs/>
              </w:rPr>
            </w:pPr>
            <w:r>
              <w:rPr>
                <w:rFonts w:hint="eastAsia" w:ascii="宋体" w:hAnsi="宋体"/>
                <w:b/>
                <w:bCs/>
              </w:rPr>
              <w:t>一级指标</w:t>
            </w:r>
          </w:p>
        </w:tc>
        <w:tc>
          <w:tcPr>
            <w:tcW w:w="1544" w:type="dxa"/>
            <w:noWrap/>
          </w:tcPr>
          <w:p w14:paraId="72180304">
            <w:pPr>
              <w:spacing w:before="156" w:beforeLines="50" w:after="156" w:afterLines="50"/>
              <w:jc w:val="center"/>
              <w:rPr>
                <w:rFonts w:hint="eastAsia" w:ascii="宋体" w:hAnsi="宋体"/>
                <w:b/>
                <w:bCs/>
              </w:rPr>
            </w:pPr>
            <w:r>
              <w:rPr>
                <w:rFonts w:hint="eastAsia" w:ascii="宋体" w:hAnsi="宋体"/>
                <w:b/>
                <w:bCs/>
              </w:rPr>
              <w:t>二级指标</w:t>
            </w:r>
          </w:p>
        </w:tc>
        <w:tc>
          <w:tcPr>
            <w:tcW w:w="2103" w:type="dxa"/>
            <w:noWrap/>
          </w:tcPr>
          <w:p w14:paraId="1E38A113">
            <w:pPr>
              <w:spacing w:before="156" w:beforeLines="50" w:after="156" w:afterLines="50"/>
              <w:jc w:val="center"/>
              <w:rPr>
                <w:rFonts w:hint="eastAsia" w:ascii="宋体" w:hAnsi="宋体"/>
                <w:b/>
                <w:bCs/>
              </w:rPr>
            </w:pPr>
            <w:r>
              <w:rPr>
                <w:rFonts w:hint="eastAsia" w:ascii="宋体" w:hAnsi="宋体"/>
                <w:b/>
                <w:bCs/>
              </w:rPr>
              <w:t>三级指标</w:t>
            </w:r>
          </w:p>
        </w:tc>
        <w:tc>
          <w:tcPr>
            <w:tcW w:w="891" w:type="dxa"/>
            <w:noWrap/>
          </w:tcPr>
          <w:p w14:paraId="7D8809AD">
            <w:pPr>
              <w:spacing w:before="156" w:beforeLines="50" w:after="156" w:afterLines="50"/>
              <w:jc w:val="center"/>
              <w:rPr>
                <w:rFonts w:hint="eastAsia" w:ascii="宋体" w:hAnsi="宋体"/>
                <w:b/>
                <w:bCs/>
              </w:rPr>
            </w:pPr>
            <w:r>
              <w:rPr>
                <w:rFonts w:hint="eastAsia" w:ascii="宋体" w:hAnsi="宋体"/>
                <w:b/>
                <w:bCs/>
              </w:rPr>
              <w:t>分值</w:t>
            </w:r>
          </w:p>
        </w:tc>
        <w:tc>
          <w:tcPr>
            <w:tcW w:w="3017" w:type="dxa"/>
            <w:noWrap/>
          </w:tcPr>
          <w:p w14:paraId="66E81F64">
            <w:pPr>
              <w:spacing w:before="156" w:beforeLines="50" w:after="156" w:afterLines="50"/>
              <w:jc w:val="center"/>
              <w:rPr>
                <w:rFonts w:hint="eastAsia" w:ascii="宋体" w:hAnsi="宋体"/>
                <w:b/>
                <w:bCs/>
              </w:rPr>
            </w:pPr>
            <w:r>
              <w:rPr>
                <w:rFonts w:hint="eastAsia" w:ascii="宋体" w:hAnsi="宋体"/>
                <w:b/>
                <w:bCs/>
              </w:rPr>
              <w:t>指标说明</w:t>
            </w:r>
          </w:p>
        </w:tc>
        <w:tc>
          <w:tcPr>
            <w:tcW w:w="5684" w:type="dxa"/>
            <w:noWrap/>
          </w:tcPr>
          <w:p w14:paraId="72092EBE">
            <w:pPr>
              <w:spacing w:before="156" w:beforeLines="50" w:after="156" w:afterLines="50"/>
              <w:jc w:val="center"/>
              <w:rPr>
                <w:rFonts w:hint="eastAsia" w:ascii="宋体" w:hAnsi="宋体"/>
                <w:b/>
                <w:bCs/>
              </w:rPr>
            </w:pPr>
            <w:r>
              <w:rPr>
                <w:rFonts w:hint="eastAsia" w:ascii="宋体" w:hAnsi="宋体"/>
                <w:b/>
                <w:bCs/>
              </w:rPr>
              <w:t>评分细则</w:t>
            </w:r>
          </w:p>
        </w:tc>
      </w:tr>
      <w:tr w14:paraId="269EE6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74" w:hRule="atLeast"/>
        </w:trPr>
        <w:tc>
          <w:tcPr>
            <w:tcW w:w="1302" w:type="dxa"/>
            <w:vMerge w:val="restart"/>
            <w:vAlign w:val="center"/>
          </w:tcPr>
          <w:p w14:paraId="43DA2F4C">
            <w:pPr>
              <w:spacing w:before="156" w:beforeLines="50" w:after="156" w:afterLines="50"/>
              <w:jc w:val="center"/>
              <w:rPr>
                <w:rFonts w:hint="eastAsia" w:ascii="宋体" w:hAnsi="宋体"/>
              </w:rPr>
            </w:pPr>
            <w:r>
              <w:rPr>
                <w:rFonts w:hint="eastAsia" w:ascii="宋体" w:hAnsi="宋体"/>
              </w:rPr>
              <w:t>基础信用</w:t>
            </w:r>
            <w:r>
              <w:rPr>
                <w:rFonts w:hint="eastAsia" w:ascii="宋体" w:hAnsi="宋体"/>
              </w:rPr>
              <w:br w:type="textWrapping"/>
            </w:r>
            <w:r>
              <w:rPr>
                <w:rFonts w:hint="eastAsia" w:ascii="宋体" w:hAnsi="宋体"/>
              </w:rPr>
              <w:t>（16分）</w:t>
            </w:r>
          </w:p>
        </w:tc>
        <w:tc>
          <w:tcPr>
            <w:tcW w:w="1544" w:type="dxa"/>
            <w:vMerge w:val="restart"/>
            <w:vAlign w:val="center"/>
          </w:tcPr>
          <w:p w14:paraId="24554B94">
            <w:pPr>
              <w:spacing w:before="156" w:beforeLines="50" w:after="156" w:afterLines="50"/>
              <w:jc w:val="center"/>
              <w:rPr>
                <w:rFonts w:hint="eastAsia" w:ascii="宋体" w:hAnsi="宋体"/>
              </w:rPr>
            </w:pPr>
            <w:r>
              <w:rPr>
                <w:rFonts w:hint="eastAsia" w:ascii="宋体" w:hAnsi="宋体"/>
              </w:rPr>
              <w:t>基础信息</w:t>
            </w:r>
            <w:r>
              <w:rPr>
                <w:rFonts w:hint="eastAsia" w:ascii="宋体" w:hAnsi="宋体"/>
              </w:rPr>
              <w:br w:type="textWrapping"/>
            </w:r>
            <w:r>
              <w:rPr>
                <w:rFonts w:hint="eastAsia" w:ascii="宋体" w:hAnsi="宋体"/>
              </w:rPr>
              <w:t>（4分）</w:t>
            </w:r>
          </w:p>
        </w:tc>
        <w:tc>
          <w:tcPr>
            <w:tcW w:w="2103" w:type="dxa"/>
            <w:vAlign w:val="center"/>
          </w:tcPr>
          <w:p w14:paraId="774145DA">
            <w:pPr>
              <w:spacing w:before="156" w:beforeLines="50" w:after="156" w:afterLines="50"/>
              <w:jc w:val="left"/>
              <w:rPr>
                <w:rFonts w:hint="eastAsia" w:ascii="宋体" w:hAnsi="宋体"/>
              </w:rPr>
            </w:pPr>
            <w:r>
              <w:rPr>
                <w:rFonts w:hint="eastAsia" w:ascii="宋体" w:hAnsi="宋体"/>
              </w:rPr>
              <w:t>存续时间</w:t>
            </w:r>
          </w:p>
        </w:tc>
        <w:tc>
          <w:tcPr>
            <w:tcW w:w="891" w:type="dxa"/>
            <w:noWrap/>
            <w:vAlign w:val="center"/>
          </w:tcPr>
          <w:p w14:paraId="1E21BB47">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0F1A48AB">
            <w:pPr>
              <w:spacing w:before="156" w:beforeLines="50" w:after="156" w:afterLines="50"/>
              <w:jc w:val="left"/>
              <w:rPr>
                <w:rFonts w:hint="eastAsia" w:ascii="宋体" w:hAnsi="宋体"/>
              </w:rPr>
            </w:pPr>
            <w:r>
              <w:rPr>
                <w:rFonts w:hint="eastAsia" w:ascii="宋体" w:hAnsi="宋体"/>
              </w:rPr>
              <w:t>企业创建与成长的年限，一定程度反映企业信用建设，两者具有一定正相关性。</w:t>
            </w:r>
          </w:p>
        </w:tc>
        <w:tc>
          <w:tcPr>
            <w:tcW w:w="5684" w:type="dxa"/>
            <w:vAlign w:val="center"/>
          </w:tcPr>
          <w:p w14:paraId="7E629299">
            <w:pPr>
              <w:spacing w:before="156" w:beforeLines="50" w:after="156" w:afterLines="50"/>
              <w:jc w:val="left"/>
              <w:rPr>
                <w:rFonts w:hint="eastAsia" w:ascii="宋体" w:hAnsi="宋体"/>
              </w:rPr>
            </w:pPr>
            <w:r>
              <w:rPr>
                <w:rFonts w:hint="eastAsia" w:ascii="宋体" w:hAnsi="宋体"/>
              </w:rPr>
              <w:t>持续经营年限≥10年，得2分；7年≤持续经营年限＜10年，得1.6分；5年≤持续经营年限＜7年，得1.2分；3年≤持续经营年限＜5年，得0.8分。</w:t>
            </w:r>
          </w:p>
        </w:tc>
      </w:tr>
      <w:tr w14:paraId="33F0EB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89" w:hRule="atLeast"/>
        </w:trPr>
        <w:tc>
          <w:tcPr>
            <w:tcW w:w="1302" w:type="dxa"/>
            <w:vMerge w:val="continue"/>
            <w:vAlign w:val="center"/>
          </w:tcPr>
          <w:p w14:paraId="38FF8983">
            <w:pPr>
              <w:spacing w:before="156" w:beforeLines="50" w:after="156" w:afterLines="50"/>
              <w:jc w:val="center"/>
              <w:rPr>
                <w:rFonts w:hint="eastAsia" w:ascii="宋体" w:hAnsi="宋体"/>
              </w:rPr>
            </w:pPr>
          </w:p>
        </w:tc>
        <w:tc>
          <w:tcPr>
            <w:tcW w:w="1544" w:type="dxa"/>
            <w:vMerge w:val="continue"/>
            <w:vAlign w:val="center"/>
          </w:tcPr>
          <w:p w14:paraId="3E4B3BB5">
            <w:pPr>
              <w:spacing w:before="156" w:beforeLines="50" w:after="156" w:afterLines="50"/>
              <w:jc w:val="center"/>
              <w:rPr>
                <w:rFonts w:hint="eastAsia" w:ascii="宋体" w:hAnsi="宋体"/>
              </w:rPr>
            </w:pPr>
          </w:p>
        </w:tc>
        <w:tc>
          <w:tcPr>
            <w:tcW w:w="2103" w:type="dxa"/>
            <w:vMerge w:val="restart"/>
            <w:vAlign w:val="center"/>
          </w:tcPr>
          <w:p w14:paraId="673E75C7">
            <w:pPr>
              <w:spacing w:before="156" w:beforeLines="50" w:after="156" w:afterLines="50"/>
              <w:jc w:val="left"/>
              <w:rPr>
                <w:rFonts w:hint="eastAsia" w:ascii="宋体" w:hAnsi="宋体"/>
              </w:rPr>
            </w:pPr>
            <w:r>
              <w:rPr>
                <w:rFonts w:hint="eastAsia" w:ascii="宋体" w:hAnsi="宋体"/>
              </w:rPr>
              <w:t>实收资本</w:t>
            </w:r>
          </w:p>
        </w:tc>
        <w:tc>
          <w:tcPr>
            <w:tcW w:w="891" w:type="dxa"/>
            <w:vMerge w:val="restart"/>
            <w:noWrap/>
            <w:vAlign w:val="center"/>
          </w:tcPr>
          <w:p w14:paraId="62394A21">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4ADDB0F9">
            <w:pPr>
              <w:spacing w:before="156" w:beforeLines="50" w:after="156" w:afterLines="50"/>
              <w:jc w:val="left"/>
              <w:rPr>
                <w:rFonts w:hint="eastAsia" w:ascii="宋体" w:hAnsi="宋体"/>
              </w:rPr>
            </w:pPr>
            <w:r>
              <w:rPr>
                <w:rFonts w:hint="eastAsia" w:ascii="宋体" w:hAnsi="宋体"/>
              </w:rPr>
              <w:t>企业实际收到的投资人投入的资本，体现企业所有者对企业的基本产权关系。</w:t>
            </w:r>
          </w:p>
        </w:tc>
        <w:tc>
          <w:tcPr>
            <w:tcW w:w="5684" w:type="dxa"/>
            <w:vAlign w:val="center"/>
          </w:tcPr>
          <w:p w14:paraId="35DB2A42">
            <w:pPr>
              <w:spacing w:before="156" w:beforeLines="50" w:after="156" w:afterLines="50"/>
              <w:jc w:val="left"/>
              <w:rPr>
                <w:rFonts w:hint="eastAsia" w:ascii="宋体" w:hAnsi="宋体"/>
              </w:rPr>
            </w:pPr>
            <w:r>
              <w:rPr>
                <w:rFonts w:hint="eastAsia" w:ascii="宋体" w:hAnsi="宋体"/>
              </w:rPr>
              <w:t>实收资本≥5000万元，得2分；1000万元≤实收资本＜5000万元，得1.6分；1000万元≤实收资本＜3000万元，得1.2分；500万元≤实收资本＜1000万元，得0.8分；实收资本＜500万元，得0.4分。</w:t>
            </w:r>
          </w:p>
        </w:tc>
      </w:tr>
      <w:tr w14:paraId="48BDA1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836" w:hRule="atLeast"/>
        </w:trPr>
        <w:tc>
          <w:tcPr>
            <w:tcW w:w="1302" w:type="dxa"/>
            <w:vMerge w:val="continue"/>
            <w:vAlign w:val="center"/>
          </w:tcPr>
          <w:p w14:paraId="3C906942">
            <w:pPr>
              <w:spacing w:before="156" w:beforeLines="50" w:after="156" w:afterLines="50"/>
              <w:jc w:val="center"/>
              <w:rPr>
                <w:rFonts w:hint="eastAsia" w:ascii="宋体" w:hAnsi="宋体"/>
              </w:rPr>
            </w:pPr>
          </w:p>
        </w:tc>
        <w:tc>
          <w:tcPr>
            <w:tcW w:w="1544" w:type="dxa"/>
            <w:vMerge w:val="continue"/>
            <w:vAlign w:val="center"/>
          </w:tcPr>
          <w:p w14:paraId="0B22DA47">
            <w:pPr>
              <w:spacing w:before="156" w:beforeLines="50" w:after="156" w:afterLines="50"/>
              <w:jc w:val="center"/>
              <w:rPr>
                <w:rFonts w:hint="eastAsia" w:ascii="宋体" w:hAnsi="宋体"/>
              </w:rPr>
            </w:pPr>
          </w:p>
        </w:tc>
        <w:tc>
          <w:tcPr>
            <w:tcW w:w="2103" w:type="dxa"/>
            <w:vMerge w:val="continue"/>
            <w:vAlign w:val="center"/>
          </w:tcPr>
          <w:p w14:paraId="531C8C57">
            <w:pPr>
              <w:spacing w:before="156" w:beforeLines="50" w:after="156" w:afterLines="50"/>
              <w:jc w:val="left"/>
              <w:rPr>
                <w:rFonts w:hint="eastAsia" w:ascii="宋体" w:hAnsi="宋体"/>
              </w:rPr>
            </w:pPr>
          </w:p>
        </w:tc>
        <w:tc>
          <w:tcPr>
            <w:tcW w:w="891" w:type="dxa"/>
            <w:vMerge w:val="continue"/>
            <w:vAlign w:val="center"/>
          </w:tcPr>
          <w:p w14:paraId="0940C871">
            <w:pPr>
              <w:spacing w:before="156" w:beforeLines="50" w:after="156" w:afterLines="50"/>
              <w:jc w:val="center"/>
              <w:rPr>
                <w:rFonts w:hint="eastAsia" w:ascii="宋体" w:hAnsi="宋体"/>
              </w:rPr>
            </w:pPr>
          </w:p>
        </w:tc>
        <w:tc>
          <w:tcPr>
            <w:tcW w:w="3017" w:type="dxa"/>
            <w:vMerge w:val="continue"/>
            <w:vAlign w:val="center"/>
          </w:tcPr>
          <w:p w14:paraId="15563A92">
            <w:pPr>
              <w:spacing w:before="156" w:beforeLines="50" w:after="156" w:afterLines="50"/>
              <w:jc w:val="left"/>
              <w:rPr>
                <w:rFonts w:hint="eastAsia" w:ascii="宋体" w:hAnsi="宋体"/>
              </w:rPr>
            </w:pPr>
          </w:p>
        </w:tc>
        <w:tc>
          <w:tcPr>
            <w:tcW w:w="5684" w:type="dxa"/>
            <w:vAlign w:val="center"/>
          </w:tcPr>
          <w:p w14:paraId="4645BCA9">
            <w:pPr>
              <w:spacing w:before="156" w:beforeLines="50" w:after="156" w:afterLines="50"/>
              <w:jc w:val="left"/>
              <w:rPr>
                <w:rFonts w:ascii="宋体" w:hAnsi="宋体"/>
              </w:rPr>
            </w:pPr>
            <w:r>
              <w:rPr>
                <w:rFonts w:hint="eastAsia" w:ascii="宋体" w:hAnsi="宋体"/>
              </w:rPr>
              <w:t>如用实物、知识产权、土地使用权、股权、债权等非货币财产作价出资金额超过实收资本的50%，按照企业资产评估报告中金额计算，实收资本≥5000万元，得2分；4000万元≤实收资本＜5000万元，得1.6分；3000万元≤实收资本＜4000万元，得1.2分；2000万元≤实收资本＜3000万元，得0.8分；实收资本＜2000万元，得0.4分。</w:t>
            </w:r>
          </w:p>
          <w:p w14:paraId="2D135FD3">
            <w:pPr>
              <w:spacing w:before="156" w:beforeLines="50" w:after="156" w:afterLines="50"/>
              <w:jc w:val="left"/>
              <w:rPr>
                <w:rFonts w:hint="eastAsia" w:ascii="宋体" w:hAnsi="宋体"/>
              </w:rPr>
            </w:pPr>
          </w:p>
          <w:p w14:paraId="2811AA43">
            <w:pPr>
              <w:spacing w:before="156" w:beforeLines="50" w:after="156" w:afterLines="50"/>
              <w:jc w:val="left"/>
              <w:rPr>
                <w:rFonts w:hint="eastAsia" w:ascii="宋体" w:hAnsi="宋体"/>
              </w:rPr>
            </w:pPr>
          </w:p>
        </w:tc>
      </w:tr>
      <w:tr w14:paraId="2AF90F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4" w:hRule="atLeast"/>
        </w:trPr>
        <w:tc>
          <w:tcPr>
            <w:tcW w:w="1302" w:type="dxa"/>
            <w:vMerge w:val="continue"/>
            <w:vAlign w:val="center"/>
          </w:tcPr>
          <w:p w14:paraId="2DDC6D0D">
            <w:pPr>
              <w:spacing w:before="156" w:beforeLines="50" w:after="156" w:afterLines="50"/>
              <w:jc w:val="center"/>
              <w:rPr>
                <w:rFonts w:hint="eastAsia" w:ascii="宋体" w:hAnsi="宋体"/>
              </w:rPr>
            </w:pPr>
          </w:p>
        </w:tc>
        <w:tc>
          <w:tcPr>
            <w:tcW w:w="1544" w:type="dxa"/>
            <w:vMerge w:val="restart"/>
            <w:vAlign w:val="center"/>
          </w:tcPr>
          <w:p w14:paraId="7C504650">
            <w:pPr>
              <w:spacing w:before="156" w:beforeLines="50" w:after="156" w:afterLines="50"/>
              <w:jc w:val="center"/>
              <w:rPr>
                <w:rFonts w:hint="eastAsia" w:ascii="宋体" w:hAnsi="宋体"/>
              </w:rPr>
            </w:pPr>
            <w:r>
              <w:rPr>
                <w:rFonts w:hint="eastAsia" w:ascii="宋体" w:hAnsi="宋体"/>
              </w:rPr>
              <w:t>经营条件</w:t>
            </w:r>
            <w:r>
              <w:rPr>
                <w:rFonts w:hint="eastAsia" w:ascii="宋体" w:hAnsi="宋体"/>
              </w:rPr>
              <w:br w:type="textWrapping"/>
            </w:r>
            <w:r>
              <w:rPr>
                <w:rFonts w:hint="eastAsia" w:ascii="宋体" w:hAnsi="宋体"/>
              </w:rPr>
              <w:t>（4分）</w:t>
            </w:r>
          </w:p>
        </w:tc>
        <w:tc>
          <w:tcPr>
            <w:tcW w:w="2103" w:type="dxa"/>
            <w:vMerge w:val="restart"/>
            <w:vAlign w:val="center"/>
          </w:tcPr>
          <w:p w14:paraId="2EA66CEA">
            <w:pPr>
              <w:spacing w:before="156" w:beforeLines="50" w:after="156" w:afterLines="50"/>
              <w:jc w:val="left"/>
              <w:rPr>
                <w:rFonts w:hint="eastAsia" w:ascii="宋体" w:hAnsi="宋体"/>
              </w:rPr>
            </w:pPr>
            <w:r>
              <w:rPr>
                <w:rFonts w:hint="eastAsia" w:ascii="宋体" w:hAnsi="宋体"/>
              </w:rPr>
              <w:t>经营场所</w:t>
            </w:r>
          </w:p>
        </w:tc>
        <w:tc>
          <w:tcPr>
            <w:tcW w:w="891" w:type="dxa"/>
            <w:vMerge w:val="restart"/>
            <w:noWrap/>
            <w:vAlign w:val="center"/>
          </w:tcPr>
          <w:p w14:paraId="41AD1E9B">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297BF2BB">
            <w:pPr>
              <w:spacing w:before="156" w:beforeLines="50" w:after="156" w:afterLines="50"/>
              <w:jc w:val="left"/>
              <w:rPr>
                <w:rFonts w:hint="eastAsia" w:ascii="宋体" w:hAnsi="宋体"/>
              </w:rPr>
            </w:pPr>
            <w:r>
              <w:rPr>
                <w:rFonts w:hint="eastAsia" w:ascii="宋体" w:hAnsi="宋体"/>
              </w:rPr>
              <w:t>经营场所和经营面积情况。</w:t>
            </w:r>
          </w:p>
        </w:tc>
        <w:tc>
          <w:tcPr>
            <w:tcW w:w="5684" w:type="dxa"/>
            <w:vAlign w:val="center"/>
          </w:tcPr>
          <w:p w14:paraId="131BC248">
            <w:pPr>
              <w:spacing w:before="156" w:beforeLines="50" w:after="156" w:afterLines="50"/>
              <w:jc w:val="left"/>
              <w:rPr>
                <w:rFonts w:hint="eastAsia" w:ascii="宋体" w:hAnsi="宋体"/>
              </w:rPr>
            </w:pPr>
            <w:r>
              <w:rPr>
                <w:rFonts w:hint="eastAsia" w:ascii="宋体" w:hAnsi="宋体"/>
              </w:rPr>
              <w:t>贸易类：有固定经营场所，且经营面积≥300平方米，得2分；不符合上述两项，得0分。</w:t>
            </w:r>
          </w:p>
        </w:tc>
      </w:tr>
      <w:tr w14:paraId="5CDCC9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57" w:hRule="atLeast"/>
        </w:trPr>
        <w:tc>
          <w:tcPr>
            <w:tcW w:w="1302" w:type="dxa"/>
            <w:vMerge w:val="continue"/>
            <w:vAlign w:val="center"/>
          </w:tcPr>
          <w:p w14:paraId="2FD5CA45">
            <w:pPr>
              <w:spacing w:before="156" w:beforeLines="50" w:after="156" w:afterLines="50"/>
              <w:jc w:val="center"/>
              <w:rPr>
                <w:rFonts w:hint="eastAsia" w:ascii="宋体" w:hAnsi="宋体"/>
              </w:rPr>
            </w:pPr>
          </w:p>
        </w:tc>
        <w:tc>
          <w:tcPr>
            <w:tcW w:w="1544" w:type="dxa"/>
            <w:vMerge w:val="continue"/>
            <w:vAlign w:val="center"/>
          </w:tcPr>
          <w:p w14:paraId="37BD8831">
            <w:pPr>
              <w:spacing w:before="156" w:beforeLines="50" w:after="156" w:afterLines="50"/>
              <w:jc w:val="center"/>
              <w:rPr>
                <w:rFonts w:hint="eastAsia" w:ascii="宋体" w:hAnsi="宋体"/>
              </w:rPr>
            </w:pPr>
          </w:p>
        </w:tc>
        <w:tc>
          <w:tcPr>
            <w:tcW w:w="2103" w:type="dxa"/>
            <w:vMerge w:val="continue"/>
            <w:vAlign w:val="center"/>
          </w:tcPr>
          <w:p w14:paraId="7D1E9271">
            <w:pPr>
              <w:spacing w:before="156" w:beforeLines="50" w:after="156" w:afterLines="50"/>
              <w:jc w:val="left"/>
              <w:rPr>
                <w:rFonts w:hint="eastAsia" w:ascii="宋体" w:hAnsi="宋体"/>
              </w:rPr>
            </w:pPr>
          </w:p>
        </w:tc>
        <w:tc>
          <w:tcPr>
            <w:tcW w:w="891" w:type="dxa"/>
            <w:vMerge w:val="continue"/>
            <w:vAlign w:val="center"/>
          </w:tcPr>
          <w:p w14:paraId="18E506AB">
            <w:pPr>
              <w:spacing w:before="156" w:beforeLines="50" w:after="156" w:afterLines="50"/>
              <w:jc w:val="center"/>
              <w:rPr>
                <w:rFonts w:hint="eastAsia" w:ascii="宋体" w:hAnsi="宋体"/>
              </w:rPr>
            </w:pPr>
          </w:p>
        </w:tc>
        <w:tc>
          <w:tcPr>
            <w:tcW w:w="3017" w:type="dxa"/>
            <w:vMerge w:val="continue"/>
            <w:vAlign w:val="center"/>
          </w:tcPr>
          <w:p w14:paraId="253D8D4A">
            <w:pPr>
              <w:spacing w:before="156" w:beforeLines="50" w:after="156" w:afterLines="50"/>
              <w:jc w:val="left"/>
              <w:rPr>
                <w:rFonts w:hint="eastAsia" w:ascii="宋体" w:hAnsi="宋体"/>
              </w:rPr>
            </w:pPr>
          </w:p>
        </w:tc>
        <w:tc>
          <w:tcPr>
            <w:tcW w:w="5684" w:type="dxa"/>
            <w:vAlign w:val="center"/>
          </w:tcPr>
          <w:p w14:paraId="45620814">
            <w:pPr>
              <w:spacing w:before="156" w:beforeLines="50" w:after="156" w:afterLines="50"/>
              <w:jc w:val="left"/>
              <w:rPr>
                <w:rFonts w:hint="eastAsia" w:ascii="宋体" w:hAnsi="宋体"/>
              </w:rPr>
            </w:pPr>
            <w:r>
              <w:rPr>
                <w:rFonts w:hint="eastAsia" w:ascii="宋体" w:hAnsi="宋体"/>
              </w:rPr>
              <w:t>生产、设备类：生产经营面积≥8万平方米，得2分；生产经营面积＜8万平方米，得1分。</w:t>
            </w:r>
          </w:p>
        </w:tc>
      </w:tr>
      <w:tr w14:paraId="115D0E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86" w:hRule="atLeast"/>
        </w:trPr>
        <w:tc>
          <w:tcPr>
            <w:tcW w:w="1302" w:type="dxa"/>
            <w:vMerge w:val="continue"/>
            <w:vAlign w:val="center"/>
          </w:tcPr>
          <w:p w14:paraId="1D3C2B39">
            <w:pPr>
              <w:spacing w:before="156" w:beforeLines="50" w:after="156" w:afterLines="50"/>
              <w:jc w:val="center"/>
              <w:rPr>
                <w:rFonts w:hint="eastAsia" w:ascii="宋体" w:hAnsi="宋体"/>
              </w:rPr>
            </w:pPr>
          </w:p>
        </w:tc>
        <w:tc>
          <w:tcPr>
            <w:tcW w:w="1544" w:type="dxa"/>
            <w:vMerge w:val="continue"/>
            <w:vAlign w:val="center"/>
          </w:tcPr>
          <w:p w14:paraId="2852E92C">
            <w:pPr>
              <w:spacing w:before="156" w:beforeLines="50" w:after="156" w:afterLines="50"/>
              <w:jc w:val="center"/>
              <w:rPr>
                <w:rFonts w:hint="eastAsia" w:ascii="宋体" w:hAnsi="宋体"/>
              </w:rPr>
            </w:pPr>
          </w:p>
        </w:tc>
        <w:tc>
          <w:tcPr>
            <w:tcW w:w="2103" w:type="dxa"/>
            <w:vAlign w:val="center"/>
          </w:tcPr>
          <w:p w14:paraId="0FC8110F">
            <w:pPr>
              <w:spacing w:before="156" w:beforeLines="50" w:after="156" w:afterLines="50"/>
              <w:jc w:val="left"/>
              <w:rPr>
                <w:rFonts w:hint="eastAsia" w:ascii="宋体" w:hAnsi="宋体"/>
              </w:rPr>
            </w:pPr>
            <w:r>
              <w:rPr>
                <w:rFonts w:hint="eastAsia" w:ascii="宋体" w:hAnsi="宋体"/>
              </w:rPr>
              <w:t>生产或配套设备</w:t>
            </w:r>
          </w:p>
        </w:tc>
        <w:tc>
          <w:tcPr>
            <w:tcW w:w="891" w:type="dxa"/>
            <w:noWrap/>
            <w:vAlign w:val="center"/>
          </w:tcPr>
          <w:p w14:paraId="09431849">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6E0765F5">
            <w:pPr>
              <w:spacing w:before="156" w:beforeLines="50" w:after="156" w:afterLines="50"/>
              <w:jc w:val="left"/>
              <w:rPr>
                <w:rFonts w:hint="eastAsia" w:ascii="宋体" w:hAnsi="宋体"/>
              </w:rPr>
            </w:pPr>
            <w:r>
              <w:rPr>
                <w:rFonts w:hint="eastAsia" w:ascii="宋体" w:hAnsi="宋体"/>
              </w:rPr>
              <w:t>经营生产设备情况或基础设施配套情况。</w:t>
            </w:r>
          </w:p>
        </w:tc>
        <w:tc>
          <w:tcPr>
            <w:tcW w:w="5684" w:type="dxa"/>
            <w:vAlign w:val="center"/>
          </w:tcPr>
          <w:p w14:paraId="2CDF661C">
            <w:pPr>
              <w:spacing w:before="156" w:beforeLines="50" w:after="156" w:afterLines="50"/>
              <w:jc w:val="left"/>
              <w:rPr>
                <w:rFonts w:hint="eastAsia" w:ascii="宋体" w:hAnsi="宋体"/>
              </w:rPr>
            </w:pPr>
            <w:r>
              <w:rPr>
                <w:rFonts w:hint="eastAsia" w:ascii="宋体" w:hAnsi="宋体"/>
              </w:rPr>
              <w:t>现有经营生产设备情况或基础设施配套情况能够满足经营需求，得2分；不符合上述两项，得0分。</w:t>
            </w:r>
          </w:p>
        </w:tc>
      </w:tr>
      <w:tr w14:paraId="6CCB90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88" w:hRule="atLeast"/>
        </w:trPr>
        <w:tc>
          <w:tcPr>
            <w:tcW w:w="1302" w:type="dxa"/>
            <w:vMerge w:val="continue"/>
            <w:vAlign w:val="center"/>
          </w:tcPr>
          <w:p w14:paraId="3A06CA6B">
            <w:pPr>
              <w:spacing w:before="156" w:beforeLines="50" w:after="156" w:afterLines="50"/>
              <w:jc w:val="center"/>
              <w:rPr>
                <w:rFonts w:hint="eastAsia" w:ascii="宋体" w:hAnsi="宋体"/>
              </w:rPr>
            </w:pPr>
          </w:p>
        </w:tc>
        <w:tc>
          <w:tcPr>
            <w:tcW w:w="1544" w:type="dxa"/>
            <w:vMerge w:val="restart"/>
            <w:vAlign w:val="center"/>
          </w:tcPr>
          <w:p w14:paraId="319050DA">
            <w:pPr>
              <w:spacing w:before="156" w:beforeLines="50" w:after="156" w:afterLines="50"/>
              <w:jc w:val="center"/>
              <w:rPr>
                <w:rFonts w:hint="eastAsia" w:ascii="宋体" w:hAnsi="宋体"/>
              </w:rPr>
            </w:pPr>
            <w:r>
              <w:rPr>
                <w:rFonts w:hint="eastAsia" w:ascii="宋体" w:hAnsi="宋体"/>
              </w:rPr>
              <w:t>资质体系认定</w:t>
            </w:r>
            <w:r>
              <w:rPr>
                <w:rFonts w:hint="eastAsia" w:ascii="宋体" w:hAnsi="宋体"/>
              </w:rPr>
              <w:br w:type="textWrapping"/>
            </w:r>
            <w:r>
              <w:rPr>
                <w:rFonts w:hint="eastAsia" w:ascii="宋体" w:hAnsi="宋体"/>
              </w:rPr>
              <w:t>（4分）</w:t>
            </w:r>
          </w:p>
        </w:tc>
        <w:tc>
          <w:tcPr>
            <w:tcW w:w="2103" w:type="dxa"/>
            <w:vAlign w:val="center"/>
          </w:tcPr>
          <w:p w14:paraId="087A76D8">
            <w:pPr>
              <w:spacing w:before="156" w:beforeLines="50" w:after="156" w:afterLines="50"/>
              <w:jc w:val="left"/>
              <w:rPr>
                <w:rFonts w:hint="eastAsia" w:ascii="宋体" w:hAnsi="宋体"/>
              </w:rPr>
            </w:pPr>
            <w:r>
              <w:rPr>
                <w:rFonts w:hint="eastAsia" w:ascii="宋体" w:hAnsi="宋体"/>
              </w:rPr>
              <w:t>企业资质</w:t>
            </w:r>
          </w:p>
        </w:tc>
        <w:tc>
          <w:tcPr>
            <w:tcW w:w="891" w:type="dxa"/>
            <w:noWrap/>
            <w:vAlign w:val="center"/>
          </w:tcPr>
          <w:p w14:paraId="5D2DE00F">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43F98401">
            <w:pPr>
              <w:spacing w:before="156" w:beforeLines="50" w:after="156" w:afterLines="50"/>
              <w:jc w:val="left"/>
              <w:rPr>
                <w:rFonts w:hint="eastAsia" w:ascii="宋体" w:hAnsi="宋体"/>
              </w:rPr>
            </w:pPr>
            <w:r>
              <w:rPr>
                <w:rFonts w:hint="eastAsia" w:ascii="宋体" w:hAnsi="宋体"/>
              </w:rPr>
              <w:t>必备的资质情况。</w:t>
            </w:r>
          </w:p>
        </w:tc>
        <w:tc>
          <w:tcPr>
            <w:tcW w:w="5684" w:type="dxa"/>
            <w:vAlign w:val="center"/>
          </w:tcPr>
          <w:p w14:paraId="5649EB0F">
            <w:pPr>
              <w:spacing w:before="156" w:beforeLines="50" w:after="156" w:afterLines="50"/>
              <w:jc w:val="left"/>
              <w:rPr>
                <w:rFonts w:hint="eastAsia" w:ascii="宋体" w:hAnsi="宋体"/>
              </w:rPr>
            </w:pPr>
            <w:r>
              <w:rPr>
                <w:rFonts w:hint="eastAsia" w:ascii="宋体" w:hAnsi="宋体"/>
              </w:rPr>
              <w:t>有，得2分；无，得0分。</w:t>
            </w:r>
          </w:p>
        </w:tc>
      </w:tr>
      <w:tr w14:paraId="7D6699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22" w:hRule="atLeast"/>
        </w:trPr>
        <w:tc>
          <w:tcPr>
            <w:tcW w:w="1302" w:type="dxa"/>
            <w:vMerge w:val="continue"/>
            <w:vAlign w:val="center"/>
          </w:tcPr>
          <w:p w14:paraId="586D370A">
            <w:pPr>
              <w:spacing w:before="156" w:beforeLines="50" w:after="156" w:afterLines="50"/>
              <w:jc w:val="center"/>
              <w:rPr>
                <w:rFonts w:hint="eastAsia" w:ascii="宋体" w:hAnsi="宋体"/>
              </w:rPr>
            </w:pPr>
          </w:p>
        </w:tc>
        <w:tc>
          <w:tcPr>
            <w:tcW w:w="1544" w:type="dxa"/>
            <w:vMerge w:val="continue"/>
            <w:vAlign w:val="center"/>
          </w:tcPr>
          <w:p w14:paraId="70E567F3">
            <w:pPr>
              <w:spacing w:before="156" w:beforeLines="50" w:after="156" w:afterLines="50"/>
              <w:jc w:val="center"/>
              <w:rPr>
                <w:rFonts w:hint="eastAsia" w:ascii="宋体" w:hAnsi="宋体"/>
              </w:rPr>
            </w:pPr>
          </w:p>
        </w:tc>
        <w:tc>
          <w:tcPr>
            <w:tcW w:w="2103" w:type="dxa"/>
            <w:vAlign w:val="center"/>
          </w:tcPr>
          <w:p w14:paraId="2BD1D601">
            <w:pPr>
              <w:spacing w:before="156" w:beforeLines="50" w:after="156" w:afterLines="50"/>
              <w:jc w:val="left"/>
              <w:rPr>
                <w:rFonts w:hint="eastAsia" w:ascii="宋体" w:hAnsi="宋体"/>
              </w:rPr>
            </w:pPr>
            <w:r>
              <w:rPr>
                <w:rFonts w:hint="eastAsia" w:ascii="宋体" w:hAnsi="宋体"/>
              </w:rPr>
              <w:t>体系认证</w:t>
            </w:r>
          </w:p>
        </w:tc>
        <w:tc>
          <w:tcPr>
            <w:tcW w:w="891" w:type="dxa"/>
            <w:noWrap/>
            <w:vAlign w:val="center"/>
          </w:tcPr>
          <w:p w14:paraId="2C0BC09A">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59E89E6C">
            <w:pPr>
              <w:spacing w:before="156" w:beforeLines="50" w:after="156" w:afterLines="50"/>
              <w:jc w:val="left"/>
              <w:rPr>
                <w:rFonts w:hint="eastAsia" w:ascii="宋体" w:hAnsi="宋体"/>
              </w:rPr>
            </w:pPr>
            <w:r>
              <w:rPr>
                <w:rFonts w:hint="eastAsia" w:ascii="宋体" w:hAnsi="宋体"/>
              </w:rPr>
              <w:t>获得环境、健康、知识产权管理体系等认证的情况。</w:t>
            </w:r>
          </w:p>
        </w:tc>
        <w:tc>
          <w:tcPr>
            <w:tcW w:w="5684" w:type="dxa"/>
            <w:vAlign w:val="center"/>
          </w:tcPr>
          <w:p w14:paraId="4C128434">
            <w:pPr>
              <w:spacing w:before="156" w:beforeLines="50" w:after="156" w:afterLines="50"/>
              <w:jc w:val="left"/>
              <w:rPr>
                <w:rFonts w:hint="eastAsia" w:ascii="宋体" w:hAnsi="宋体"/>
              </w:rPr>
            </w:pPr>
            <w:r>
              <w:rPr>
                <w:rFonts w:hint="eastAsia" w:ascii="宋体" w:hAnsi="宋体"/>
              </w:rPr>
              <w:t>有，得2分；无，得0分。</w:t>
            </w:r>
          </w:p>
        </w:tc>
      </w:tr>
      <w:tr w14:paraId="5CB10D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88" w:hRule="atLeast"/>
        </w:trPr>
        <w:tc>
          <w:tcPr>
            <w:tcW w:w="1302" w:type="dxa"/>
            <w:vMerge w:val="continue"/>
            <w:vAlign w:val="center"/>
          </w:tcPr>
          <w:p w14:paraId="640C6EF5">
            <w:pPr>
              <w:spacing w:before="156" w:beforeLines="50" w:after="156" w:afterLines="50"/>
              <w:jc w:val="center"/>
              <w:rPr>
                <w:rFonts w:hint="eastAsia" w:ascii="宋体" w:hAnsi="宋体"/>
              </w:rPr>
            </w:pPr>
          </w:p>
        </w:tc>
        <w:tc>
          <w:tcPr>
            <w:tcW w:w="1544" w:type="dxa"/>
            <w:vMerge w:val="restart"/>
            <w:vAlign w:val="center"/>
          </w:tcPr>
          <w:p w14:paraId="4C09983A">
            <w:pPr>
              <w:spacing w:before="156" w:beforeLines="50" w:after="156" w:afterLines="50"/>
              <w:jc w:val="center"/>
              <w:rPr>
                <w:rFonts w:hint="eastAsia" w:ascii="宋体" w:hAnsi="宋体"/>
              </w:rPr>
            </w:pPr>
            <w:r>
              <w:rPr>
                <w:rFonts w:hint="eastAsia" w:ascii="宋体" w:hAnsi="宋体"/>
              </w:rPr>
              <w:t>制度规范</w:t>
            </w:r>
            <w:r>
              <w:rPr>
                <w:rFonts w:hint="eastAsia" w:ascii="宋体" w:hAnsi="宋体"/>
              </w:rPr>
              <w:br w:type="textWrapping"/>
            </w:r>
            <w:r>
              <w:rPr>
                <w:rFonts w:hint="eastAsia" w:ascii="宋体" w:hAnsi="宋体"/>
              </w:rPr>
              <w:t>（4分）</w:t>
            </w:r>
          </w:p>
        </w:tc>
        <w:tc>
          <w:tcPr>
            <w:tcW w:w="2103" w:type="dxa"/>
            <w:vMerge w:val="restart"/>
            <w:vAlign w:val="center"/>
          </w:tcPr>
          <w:p w14:paraId="2721C024">
            <w:pPr>
              <w:spacing w:before="156" w:beforeLines="50" w:after="156" w:afterLines="50"/>
              <w:jc w:val="left"/>
              <w:rPr>
                <w:rFonts w:hint="eastAsia" w:ascii="宋体" w:hAnsi="宋体"/>
              </w:rPr>
            </w:pPr>
            <w:r>
              <w:rPr>
                <w:rFonts w:hint="eastAsia" w:ascii="宋体" w:hAnsi="宋体"/>
              </w:rPr>
              <w:t>法人治理</w:t>
            </w:r>
          </w:p>
        </w:tc>
        <w:tc>
          <w:tcPr>
            <w:tcW w:w="891" w:type="dxa"/>
            <w:vMerge w:val="restart"/>
            <w:noWrap/>
            <w:vAlign w:val="center"/>
          </w:tcPr>
          <w:p w14:paraId="54D4DB1A">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04E64CDD">
            <w:pPr>
              <w:spacing w:before="156" w:beforeLines="50" w:after="156" w:afterLines="50"/>
              <w:jc w:val="left"/>
              <w:rPr>
                <w:rFonts w:hint="eastAsia" w:ascii="宋体" w:hAnsi="宋体"/>
              </w:rPr>
            </w:pPr>
            <w:r>
              <w:rPr>
                <w:rFonts w:hint="eastAsia" w:ascii="宋体" w:hAnsi="宋体"/>
              </w:rPr>
              <w:t>股东会、董事会、执行董事、监事会、经营团队职能建设情况，职责履行记录情况，股权结构情况，企业结构设置情况等。</w:t>
            </w:r>
          </w:p>
        </w:tc>
        <w:tc>
          <w:tcPr>
            <w:tcW w:w="5684" w:type="dxa"/>
            <w:vAlign w:val="center"/>
          </w:tcPr>
          <w:p w14:paraId="121F7AA7">
            <w:pPr>
              <w:spacing w:before="156" w:beforeLines="50" w:after="156" w:afterLines="50"/>
              <w:jc w:val="left"/>
              <w:rPr>
                <w:rFonts w:hint="eastAsia" w:ascii="宋体" w:hAnsi="宋体"/>
              </w:rPr>
            </w:pPr>
            <w:r>
              <w:rPr>
                <w:rFonts w:hint="eastAsia" w:ascii="宋体" w:hAnsi="宋体"/>
              </w:rPr>
              <w:t>≥4项，得2分；每少一项，扣减0.5分，最高扣2分。</w:t>
            </w:r>
          </w:p>
        </w:tc>
      </w:tr>
      <w:tr w14:paraId="7CA399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43" w:hRule="atLeast"/>
        </w:trPr>
        <w:tc>
          <w:tcPr>
            <w:tcW w:w="1302" w:type="dxa"/>
            <w:vMerge w:val="continue"/>
            <w:vAlign w:val="center"/>
          </w:tcPr>
          <w:p w14:paraId="0F56D72D">
            <w:pPr>
              <w:spacing w:before="156" w:beforeLines="50" w:after="156" w:afterLines="50"/>
              <w:jc w:val="center"/>
              <w:rPr>
                <w:rFonts w:hint="eastAsia" w:ascii="宋体" w:hAnsi="宋体"/>
              </w:rPr>
            </w:pPr>
          </w:p>
        </w:tc>
        <w:tc>
          <w:tcPr>
            <w:tcW w:w="1544" w:type="dxa"/>
            <w:vMerge w:val="continue"/>
            <w:vAlign w:val="center"/>
          </w:tcPr>
          <w:p w14:paraId="11899B4A">
            <w:pPr>
              <w:spacing w:before="156" w:beforeLines="50" w:after="156" w:afterLines="50"/>
              <w:jc w:val="center"/>
              <w:rPr>
                <w:rFonts w:hint="eastAsia" w:ascii="宋体" w:hAnsi="宋体"/>
              </w:rPr>
            </w:pPr>
          </w:p>
        </w:tc>
        <w:tc>
          <w:tcPr>
            <w:tcW w:w="2103" w:type="dxa"/>
            <w:vMerge w:val="continue"/>
            <w:vAlign w:val="center"/>
          </w:tcPr>
          <w:p w14:paraId="6717135D">
            <w:pPr>
              <w:spacing w:before="156" w:beforeLines="50" w:after="156" w:afterLines="50"/>
              <w:jc w:val="left"/>
              <w:rPr>
                <w:rFonts w:hint="eastAsia" w:ascii="宋体" w:hAnsi="宋体"/>
              </w:rPr>
            </w:pPr>
          </w:p>
        </w:tc>
        <w:tc>
          <w:tcPr>
            <w:tcW w:w="891" w:type="dxa"/>
            <w:vMerge w:val="continue"/>
            <w:vAlign w:val="center"/>
          </w:tcPr>
          <w:p w14:paraId="7B4EBA70">
            <w:pPr>
              <w:spacing w:before="156" w:beforeLines="50" w:after="156" w:afterLines="50"/>
              <w:jc w:val="center"/>
              <w:rPr>
                <w:rFonts w:hint="eastAsia" w:ascii="宋体" w:hAnsi="宋体"/>
              </w:rPr>
            </w:pPr>
          </w:p>
        </w:tc>
        <w:tc>
          <w:tcPr>
            <w:tcW w:w="3017" w:type="dxa"/>
            <w:vMerge w:val="continue"/>
            <w:vAlign w:val="center"/>
          </w:tcPr>
          <w:p w14:paraId="16534ADC">
            <w:pPr>
              <w:spacing w:before="156" w:beforeLines="50" w:after="156" w:afterLines="50"/>
              <w:jc w:val="left"/>
              <w:rPr>
                <w:rFonts w:hint="eastAsia" w:ascii="宋体" w:hAnsi="宋体"/>
              </w:rPr>
            </w:pPr>
          </w:p>
        </w:tc>
        <w:tc>
          <w:tcPr>
            <w:tcW w:w="5684" w:type="dxa"/>
            <w:vAlign w:val="center"/>
          </w:tcPr>
          <w:p w14:paraId="146B8A41">
            <w:pPr>
              <w:spacing w:before="156" w:beforeLines="50" w:after="156" w:afterLines="50"/>
              <w:jc w:val="left"/>
              <w:rPr>
                <w:rFonts w:hint="eastAsia" w:ascii="宋体" w:hAnsi="宋体"/>
              </w:rPr>
            </w:pPr>
            <w:r>
              <w:rPr>
                <w:rFonts w:hint="eastAsia" w:ascii="宋体" w:hAnsi="宋体"/>
              </w:rPr>
              <w:t>类型为独资、一人有限公司等不包含股东会、董事会、监事会情况。</w:t>
            </w:r>
          </w:p>
        </w:tc>
      </w:tr>
      <w:tr w14:paraId="3EE1BA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48" w:hRule="atLeast"/>
        </w:trPr>
        <w:tc>
          <w:tcPr>
            <w:tcW w:w="1302" w:type="dxa"/>
            <w:vMerge w:val="continue"/>
            <w:vAlign w:val="center"/>
          </w:tcPr>
          <w:p w14:paraId="2B37808E">
            <w:pPr>
              <w:spacing w:before="156" w:beforeLines="50" w:after="156" w:afterLines="50"/>
              <w:jc w:val="center"/>
              <w:rPr>
                <w:rFonts w:hint="eastAsia" w:ascii="宋体" w:hAnsi="宋体"/>
              </w:rPr>
            </w:pPr>
          </w:p>
        </w:tc>
        <w:tc>
          <w:tcPr>
            <w:tcW w:w="1544" w:type="dxa"/>
            <w:vMerge w:val="continue"/>
            <w:vAlign w:val="center"/>
          </w:tcPr>
          <w:p w14:paraId="0B4B8628">
            <w:pPr>
              <w:spacing w:before="156" w:beforeLines="50" w:after="156" w:afterLines="50"/>
              <w:jc w:val="center"/>
              <w:rPr>
                <w:rFonts w:hint="eastAsia" w:ascii="宋体" w:hAnsi="宋体"/>
              </w:rPr>
            </w:pPr>
          </w:p>
        </w:tc>
        <w:tc>
          <w:tcPr>
            <w:tcW w:w="2103" w:type="dxa"/>
            <w:vAlign w:val="center"/>
          </w:tcPr>
          <w:p w14:paraId="6B665357">
            <w:pPr>
              <w:spacing w:before="156" w:beforeLines="50" w:after="156" w:afterLines="50"/>
              <w:jc w:val="left"/>
              <w:rPr>
                <w:rFonts w:hint="eastAsia" w:ascii="宋体" w:hAnsi="宋体"/>
              </w:rPr>
            </w:pPr>
            <w:r>
              <w:rPr>
                <w:rFonts w:hint="eastAsia" w:ascii="宋体" w:hAnsi="宋体"/>
              </w:rPr>
              <w:t>规章制度</w:t>
            </w:r>
          </w:p>
        </w:tc>
        <w:tc>
          <w:tcPr>
            <w:tcW w:w="891" w:type="dxa"/>
            <w:noWrap/>
            <w:vAlign w:val="center"/>
          </w:tcPr>
          <w:p w14:paraId="4F983441">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1D198100">
            <w:pPr>
              <w:spacing w:before="156" w:beforeLines="50" w:after="156" w:afterLines="50"/>
              <w:jc w:val="left"/>
              <w:rPr>
                <w:rFonts w:hint="eastAsia" w:ascii="宋体" w:hAnsi="宋体"/>
              </w:rPr>
            </w:pPr>
            <w:r>
              <w:rPr>
                <w:rFonts w:hint="eastAsia" w:ascii="宋体" w:hAnsi="宋体"/>
              </w:rPr>
              <w:t>企业财务管理、风险管理、信用管理、危机管理、重大事项信息披露制度、人事、财务、质量、安全、研发、技术标准、营销、绿色采购、供应链管理、项目管理等规章制度建设情况。</w:t>
            </w:r>
          </w:p>
        </w:tc>
        <w:tc>
          <w:tcPr>
            <w:tcW w:w="5684" w:type="dxa"/>
            <w:vAlign w:val="center"/>
          </w:tcPr>
          <w:p w14:paraId="7676993D">
            <w:pPr>
              <w:spacing w:before="156" w:beforeLines="50" w:after="156" w:afterLines="50"/>
              <w:jc w:val="left"/>
              <w:rPr>
                <w:rFonts w:hint="eastAsia" w:ascii="宋体" w:hAnsi="宋体"/>
              </w:rPr>
            </w:pPr>
            <w:r>
              <w:rPr>
                <w:rFonts w:hint="eastAsia" w:ascii="宋体" w:hAnsi="宋体"/>
              </w:rPr>
              <w:t>≥8项，得2分；=7项，得1.6分；=6项，得1.2分；=5项，得0.8分；＜5项，得0.4分。</w:t>
            </w:r>
          </w:p>
        </w:tc>
      </w:tr>
      <w:tr w14:paraId="23B806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restart"/>
            <w:vAlign w:val="center"/>
          </w:tcPr>
          <w:p w14:paraId="74CA73F1">
            <w:pPr>
              <w:spacing w:before="156" w:beforeLines="50" w:after="156" w:afterLines="50"/>
              <w:jc w:val="center"/>
              <w:rPr>
                <w:rFonts w:hint="eastAsia" w:ascii="宋体" w:hAnsi="宋体"/>
              </w:rPr>
            </w:pPr>
            <w:r>
              <w:rPr>
                <w:rFonts w:hint="eastAsia" w:ascii="宋体" w:hAnsi="宋体"/>
              </w:rPr>
              <w:t>竞争力</w:t>
            </w:r>
            <w:r>
              <w:rPr>
                <w:rFonts w:hint="eastAsia" w:ascii="宋体" w:hAnsi="宋体"/>
              </w:rPr>
              <w:br w:type="textWrapping"/>
            </w:r>
            <w:r>
              <w:rPr>
                <w:rFonts w:hint="eastAsia" w:ascii="宋体" w:hAnsi="宋体"/>
              </w:rPr>
              <w:t>（32分）</w:t>
            </w:r>
          </w:p>
        </w:tc>
        <w:tc>
          <w:tcPr>
            <w:tcW w:w="1544" w:type="dxa"/>
            <w:vMerge w:val="restart"/>
            <w:vAlign w:val="center"/>
          </w:tcPr>
          <w:p w14:paraId="15CEE595">
            <w:pPr>
              <w:spacing w:before="156" w:beforeLines="50" w:after="156" w:afterLines="50"/>
              <w:jc w:val="center"/>
              <w:rPr>
                <w:rFonts w:hint="eastAsia" w:ascii="宋体" w:hAnsi="宋体"/>
              </w:rPr>
            </w:pPr>
            <w:r>
              <w:rPr>
                <w:rFonts w:hint="eastAsia" w:ascii="宋体" w:hAnsi="宋体"/>
              </w:rPr>
              <w:t>人员素质</w:t>
            </w:r>
            <w:r>
              <w:rPr>
                <w:rFonts w:hint="eastAsia" w:ascii="宋体" w:hAnsi="宋体"/>
              </w:rPr>
              <w:br w:type="textWrapping"/>
            </w:r>
            <w:r>
              <w:rPr>
                <w:rFonts w:hint="eastAsia" w:ascii="宋体" w:hAnsi="宋体"/>
              </w:rPr>
              <w:t>（4分）</w:t>
            </w:r>
          </w:p>
        </w:tc>
        <w:tc>
          <w:tcPr>
            <w:tcW w:w="2103" w:type="dxa"/>
            <w:vAlign w:val="center"/>
          </w:tcPr>
          <w:p w14:paraId="3D4A3083">
            <w:pPr>
              <w:spacing w:before="156" w:beforeLines="50" w:after="156" w:afterLines="50"/>
              <w:jc w:val="left"/>
              <w:rPr>
                <w:rFonts w:hint="eastAsia" w:ascii="宋体" w:hAnsi="宋体"/>
              </w:rPr>
            </w:pPr>
            <w:r>
              <w:rPr>
                <w:rFonts w:hint="eastAsia" w:ascii="宋体" w:hAnsi="宋体"/>
              </w:rPr>
              <w:t>核心管理者素质</w:t>
            </w:r>
          </w:p>
        </w:tc>
        <w:tc>
          <w:tcPr>
            <w:tcW w:w="891" w:type="dxa"/>
            <w:noWrap/>
            <w:vAlign w:val="center"/>
          </w:tcPr>
          <w:p w14:paraId="6233F1F2">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7DD5C161">
            <w:pPr>
              <w:spacing w:before="156" w:beforeLines="50" w:after="156" w:afterLines="50"/>
              <w:jc w:val="left"/>
              <w:rPr>
                <w:rFonts w:hint="eastAsia" w:ascii="宋体" w:hAnsi="宋体"/>
              </w:rPr>
            </w:pPr>
            <w:r>
              <w:rPr>
                <w:rFonts w:hint="eastAsia" w:ascii="宋体" w:hAnsi="宋体"/>
              </w:rPr>
              <w:t>管理能力及是否存在不良信用记录。</w:t>
            </w:r>
          </w:p>
        </w:tc>
        <w:tc>
          <w:tcPr>
            <w:tcW w:w="5684" w:type="dxa"/>
            <w:vAlign w:val="center"/>
          </w:tcPr>
          <w:p w14:paraId="0C6898BB">
            <w:pPr>
              <w:spacing w:before="156" w:beforeLines="50" w:after="156" w:afterLines="50"/>
              <w:jc w:val="left"/>
              <w:rPr>
                <w:rFonts w:hint="eastAsia" w:ascii="宋体" w:hAnsi="宋体"/>
              </w:rPr>
            </w:pPr>
            <w:r>
              <w:rPr>
                <w:rFonts w:hint="eastAsia" w:ascii="宋体" w:hAnsi="宋体"/>
              </w:rPr>
              <w:t>具有 10 年及以上管理经验，且无不良信用记录得2分；管理经验少于 10 年，且无不良信用记录得1.6分；存在不良记录，得0分。</w:t>
            </w:r>
          </w:p>
        </w:tc>
      </w:tr>
      <w:tr w14:paraId="2A2B84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1302" w:type="dxa"/>
            <w:vMerge w:val="continue"/>
            <w:vAlign w:val="center"/>
          </w:tcPr>
          <w:p w14:paraId="65D9F69A">
            <w:pPr>
              <w:spacing w:before="156" w:beforeLines="50" w:after="156" w:afterLines="50"/>
              <w:jc w:val="center"/>
              <w:rPr>
                <w:rFonts w:hint="eastAsia" w:ascii="宋体" w:hAnsi="宋体"/>
              </w:rPr>
            </w:pPr>
          </w:p>
        </w:tc>
        <w:tc>
          <w:tcPr>
            <w:tcW w:w="1544" w:type="dxa"/>
            <w:vMerge w:val="continue"/>
            <w:vAlign w:val="center"/>
          </w:tcPr>
          <w:p w14:paraId="75D66EB3">
            <w:pPr>
              <w:spacing w:before="156" w:beforeLines="50" w:after="156" w:afterLines="50"/>
              <w:jc w:val="center"/>
              <w:rPr>
                <w:rFonts w:hint="eastAsia" w:ascii="宋体" w:hAnsi="宋体"/>
              </w:rPr>
            </w:pPr>
          </w:p>
        </w:tc>
        <w:tc>
          <w:tcPr>
            <w:tcW w:w="2103" w:type="dxa"/>
            <w:vAlign w:val="center"/>
          </w:tcPr>
          <w:p w14:paraId="3E61B36D">
            <w:pPr>
              <w:spacing w:before="156" w:beforeLines="50" w:after="156" w:afterLines="50"/>
              <w:jc w:val="left"/>
              <w:rPr>
                <w:rFonts w:hint="eastAsia" w:ascii="宋体" w:hAnsi="宋体"/>
              </w:rPr>
            </w:pPr>
            <w:bookmarkStart w:id="82" w:name="_Hlk175666028"/>
            <w:r>
              <w:rPr>
                <w:rFonts w:hint="eastAsia" w:ascii="宋体" w:hAnsi="宋体"/>
              </w:rPr>
              <w:t>主要管理层人员素质</w:t>
            </w:r>
            <w:bookmarkEnd w:id="82"/>
          </w:p>
        </w:tc>
        <w:tc>
          <w:tcPr>
            <w:tcW w:w="891" w:type="dxa"/>
            <w:noWrap/>
            <w:vAlign w:val="center"/>
          </w:tcPr>
          <w:p w14:paraId="452D33BD">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7226BD03">
            <w:pPr>
              <w:spacing w:before="156" w:beforeLines="50" w:after="156" w:afterLines="50"/>
              <w:jc w:val="left"/>
              <w:rPr>
                <w:rFonts w:hint="eastAsia" w:ascii="宋体" w:hAnsi="宋体"/>
              </w:rPr>
            </w:pPr>
            <w:r>
              <w:rPr>
                <w:rFonts w:hint="eastAsia" w:ascii="宋体" w:hAnsi="宋体"/>
              </w:rPr>
              <w:t>管理层知识结构、管理经验、管理层稳定情况、是否存在不良信用记录等。</w:t>
            </w:r>
          </w:p>
        </w:tc>
        <w:tc>
          <w:tcPr>
            <w:tcW w:w="5684" w:type="dxa"/>
            <w:vAlign w:val="center"/>
          </w:tcPr>
          <w:p w14:paraId="532E16BF">
            <w:pPr>
              <w:spacing w:before="156" w:beforeLines="50" w:after="156" w:afterLines="50"/>
              <w:jc w:val="left"/>
              <w:rPr>
                <w:rFonts w:hint="eastAsia" w:ascii="宋体" w:hAnsi="宋体"/>
              </w:rPr>
            </w:pPr>
            <w:r>
              <w:rPr>
                <w:rFonts w:hint="eastAsia" w:ascii="宋体" w:hAnsi="宋体"/>
              </w:rPr>
              <w:t>管理层专业素质高、人员稳定、无不良记录得 2 分；管理层专业素质一般、人员较稳定、无不良记录得 1.2分；管理层专业素质较差、人员不稳定或有不良记录者,得0分。</w:t>
            </w:r>
          </w:p>
        </w:tc>
      </w:tr>
      <w:tr w14:paraId="513217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88" w:hRule="atLeast"/>
        </w:trPr>
        <w:tc>
          <w:tcPr>
            <w:tcW w:w="1302" w:type="dxa"/>
            <w:vMerge w:val="continue"/>
            <w:vAlign w:val="center"/>
          </w:tcPr>
          <w:p w14:paraId="628966B8">
            <w:pPr>
              <w:spacing w:before="156" w:beforeLines="50" w:after="156" w:afterLines="50"/>
              <w:jc w:val="center"/>
              <w:rPr>
                <w:rFonts w:hint="eastAsia" w:ascii="宋体" w:hAnsi="宋体"/>
              </w:rPr>
            </w:pPr>
          </w:p>
        </w:tc>
        <w:tc>
          <w:tcPr>
            <w:tcW w:w="1544" w:type="dxa"/>
            <w:vMerge w:val="restart"/>
            <w:vAlign w:val="center"/>
          </w:tcPr>
          <w:p w14:paraId="4C369BF3">
            <w:pPr>
              <w:spacing w:before="156" w:beforeLines="50" w:after="156" w:afterLines="50"/>
              <w:jc w:val="center"/>
              <w:rPr>
                <w:rFonts w:hint="eastAsia" w:ascii="宋体" w:hAnsi="宋体"/>
              </w:rPr>
            </w:pPr>
            <w:r>
              <w:rPr>
                <w:rFonts w:hint="eastAsia" w:ascii="宋体" w:hAnsi="宋体"/>
              </w:rPr>
              <w:t>技术水平</w:t>
            </w:r>
            <w:r>
              <w:rPr>
                <w:rFonts w:hint="eastAsia" w:ascii="宋体" w:hAnsi="宋体"/>
              </w:rPr>
              <w:br w:type="textWrapping"/>
            </w:r>
            <w:r>
              <w:rPr>
                <w:rFonts w:hint="eastAsia" w:ascii="宋体" w:hAnsi="宋体"/>
              </w:rPr>
              <w:t>（6分）</w:t>
            </w:r>
          </w:p>
        </w:tc>
        <w:tc>
          <w:tcPr>
            <w:tcW w:w="2103" w:type="dxa"/>
            <w:vAlign w:val="center"/>
          </w:tcPr>
          <w:p w14:paraId="6609A3D3">
            <w:pPr>
              <w:spacing w:before="156" w:beforeLines="50" w:after="156" w:afterLines="50"/>
              <w:jc w:val="left"/>
              <w:rPr>
                <w:rFonts w:hint="eastAsia" w:ascii="宋体" w:hAnsi="宋体"/>
              </w:rPr>
            </w:pPr>
            <w:r>
              <w:rPr>
                <w:rFonts w:hint="eastAsia" w:ascii="宋体" w:hAnsi="宋体"/>
              </w:rPr>
              <w:t>技术机构设置</w:t>
            </w:r>
          </w:p>
        </w:tc>
        <w:tc>
          <w:tcPr>
            <w:tcW w:w="891" w:type="dxa"/>
            <w:noWrap/>
            <w:vAlign w:val="center"/>
          </w:tcPr>
          <w:p w14:paraId="1ADEBABC">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6DAE730B">
            <w:pPr>
              <w:spacing w:before="156" w:beforeLines="50" w:after="156" w:afterLines="50"/>
              <w:jc w:val="left"/>
              <w:rPr>
                <w:rFonts w:hint="eastAsia" w:ascii="宋体" w:hAnsi="宋体"/>
              </w:rPr>
            </w:pPr>
            <w:r>
              <w:rPr>
                <w:rFonts w:hint="eastAsia" w:ascii="宋体" w:hAnsi="宋体"/>
              </w:rPr>
              <w:t>设置技术机构的情况。</w:t>
            </w:r>
          </w:p>
        </w:tc>
        <w:tc>
          <w:tcPr>
            <w:tcW w:w="5684" w:type="dxa"/>
            <w:vAlign w:val="center"/>
          </w:tcPr>
          <w:p w14:paraId="58806867">
            <w:pPr>
              <w:spacing w:before="156" w:beforeLines="50" w:after="156" w:afterLines="50"/>
              <w:jc w:val="left"/>
              <w:rPr>
                <w:rFonts w:hint="eastAsia" w:ascii="宋体" w:hAnsi="宋体"/>
              </w:rPr>
            </w:pPr>
            <w:r>
              <w:rPr>
                <w:rFonts w:hint="eastAsia" w:ascii="宋体" w:hAnsi="宋体"/>
              </w:rPr>
              <w:t>有固定的技术部门，得2分；无，得0分。</w:t>
            </w:r>
          </w:p>
        </w:tc>
      </w:tr>
      <w:tr w14:paraId="38CA1D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09BE57CA">
            <w:pPr>
              <w:spacing w:before="156" w:beforeLines="50" w:after="156" w:afterLines="50"/>
              <w:jc w:val="center"/>
              <w:rPr>
                <w:rFonts w:hint="eastAsia" w:ascii="宋体" w:hAnsi="宋体"/>
              </w:rPr>
            </w:pPr>
          </w:p>
        </w:tc>
        <w:tc>
          <w:tcPr>
            <w:tcW w:w="1544" w:type="dxa"/>
            <w:vMerge w:val="continue"/>
            <w:vAlign w:val="center"/>
          </w:tcPr>
          <w:p w14:paraId="663A9282">
            <w:pPr>
              <w:spacing w:before="156" w:beforeLines="50" w:after="156" w:afterLines="50"/>
              <w:jc w:val="center"/>
              <w:rPr>
                <w:rFonts w:hint="eastAsia" w:ascii="宋体" w:hAnsi="宋体"/>
              </w:rPr>
            </w:pPr>
          </w:p>
        </w:tc>
        <w:tc>
          <w:tcPr>
            <w:tcW w:w="2103" w:type="dxa"/>
            <w:vMerge w:val="restart"/>
            <w:vAlign w:val="center"/>
          </w:tcPr>
          <w:p w14:paraId="701372EB">
            <w:pPr>
              <w:spacing w:before="156" w:beforeLines="50" w:after="156" w:afterLines="50"/>
              <w:jc w:val="left"/>
              <w:rPr>
                <w:rFonts w:hint="eastAsia" w:ascii="宋体" w:hAnsi="宋体"/>
              </w:rPr>
            </w:pPr>
            <w:r>
              <w:rPr>
                <w:rFonts w:hint="eastAsia" w:ascii="宋体" w:hAnsi="宋体"/>
              </w:rPr>
              <w:t>技术投入比率</w:t>
            </w:r>
          </w:p>
        </w:tc>
        <w:tc>
          <w:tcPr>
            <w:tcW w:w="891" w:type="dxa"/>
            <w:vMerge w:val="restart"/>
            <w:noWrap/>
            <w:vAlign w:val="center"/>
          </w:tcPr>
          <w:p w14:paraId="352C9E94">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0BCC5B53">
            <w:pPr>
              <w:spacing w:before="156" w:beforeLines="50" w:after="156" w:afterLines="50"/>
              <w:jc w:val="left"/>
              <w:rPr>
                <w:rFonts w:hint="eastAsia" w:ascii="宋体" w:hAnsi="宋体"/>
              </w:rPr>
            </w:pPr>
            <w:r>
              <w:rPr>
                <w:rFonts w:hint="eastAsia" w:ascii="宋体" w:hAnsi="宋体"/>
              </w:rPr>
              <w:t>研发费用/当年营业收入*100%</w:t>
            </w:r>
          </w:p>
        </w:tc>
        <w:tc>
          <w:tcPr>
            <w:tcW w:w="5684" w:type="dxa"/>
            <w:vAlign w:val="center"/>
          </w:tcPr>
          <w:p w14:paraId="39D84489">
            <w:pPr>
              <w:spacing w:before="156" w:beforeLines="50" w:after="156" w:afterLines="50"/>
              <w:jc w:val="left"/>
              <w:rPr>
                <w:rFonts w:hint="eastAsia" w:ascii="宋体" w:hAnsi="宋体"/>
              </w:rPr>
            </w:pPr>
            <w:r>
              <w:rPr>
                <w:rFonts w:hint="eastAsia" w:ascii="宋体" w:hAnsi="宋体"/>
              </w:rPr>
              <w:t>最近一年营业收入＜5,000万元的企业，比例≥6%，得2分；＜6%，得1分；=0，得0分。</w:t>
            </w:r>
          </w:p>
        </w:tc>
      </w:tr>
      <w:tr w14:paraId="116DFD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3CD10627">
            <w:pPr>
              <w:spacing w:before="156" w:beforeLines="50" w:after="156" w:afterLines="50"/>
              <w:jc w:val="center"/>
              <w:rPr>
                <w:rFonts w:hint="eastAsia" w:ascii="宋体" w:hAnsi="宋体"/>
              </w:rPr>
            </w:pPr>
          </w:p>
        </w:tc>
        <w:tc>
          <w:tcPr>
            <w:tcW w:w="1544" w:type="dxa"/>
            <w:vMerge w:val="continue"/>
            <w:vAlign w:val="center"/>
          </w:tcPr>
          <w:p w14:paraId="39E5E135">
            <w:pPr>
              <w:spacing w:before="156" w:beforeLines="50" w:after="156" w:afterLines="50"/>
              <w:jc w:val="center"/>
              <w:rPr>
                <w:rFonts w:hint="eastAsia" w:ascii="宋体" w:hAnsi="宋体"/>
              </w:rPr>
            </w:pPr>
          </w:p>
        </w:tc>
        <w:tc>
          <w:tcPr>
            <w:tcW w:w="2103" w:type="dxa"/>
            <w:vMerge w:val="continue"/>
            <w:vAlign w:val="center"/>
          </w:tcPr>
          <w:p w14:paraId="42FD7C54">
            <w:pPr>
              <w:spacing w:before="156" w:beforeLines="50" w:after="156" w:afterLines="50"/>
              <w:jc w:val="left"/>
              <w:rPr>
                <w:rFonts w:hint="eastAsia" w:ascii="宋体" w:hAnsi="宋体"/>
              </w:rPr>
            </w:pPr>
          </w:p>
        </w:tc>
        <w:tc>
          <w:tcPr>
            <w:tcW w:w="891" w:type="dxa"/>
            <w:vMerge w:val="continue"/>
            <w:vAlign w:val="center"/>
          </w:tcPr>
          <w:p w14:paraId="119786B3">
            <w:pPr>
              <w:spacing w:before="156" w:beforeLines="50" w:after="156" w:afterLines="50"/>
              <w:jc w:val="center"/>
              <w:rPr>
                <w:rFonts w:hint="eastAsia" w:ascii="宋体" w:hAnsi="宋体"/>
              </w:rPr>
            </w:pPr>
          </w:p>
        </w:tc>
        <w:tc>
          <w:tcPr>
            <w:tcW w:w="3017" w:type="dxa"/>
            <w:vMerge w:val="continue"/>
            <w:vAlign w:val="center"/>
          </w:tcPr>
          <w:p w14:paraId="7D172EE1">
            <w:pPr>
              <w:spacing w:before="156" w:beforeLines="50" w:after="156" w:afterLines="50"/>
              <w:jc w:val="left"/>
              <w:rPr>
                <w:rFonts w:hint="eastAsia" w:ascii="宋体" w:hAnsi="宋体"/>
              </w:rPr>
            </w:pPr>
          </w:p>
        </w:tc>
        <w:tc>
          <w:tcPr>
            <w:tcW w:w="5684" w:type="dxa"/>
            <w:vAlign w:val="center"/>
          </w:tcPr>
          <w:p w14:paraId="7D6E743B">
            <w:pPr>
              <w:spacing w:before="156" w:beforeLines="50" w:after="156" w:afterLines="50"/>
              <w:jc w:val="left"/>
              <w:rPr>
                <w:rFonts w:hint="eastAsia" w:ascii="宋体" w:hAnsi="宋体"/>
              </w:rPr>
            </w:pPr>
            <w:r>
              <w:rPr>
                <w:rFonts w:hint="eastAsia" w:ascii="宋体" w:hAnsi="宋体"/>
              </w:rPr>
              <w:t>5,000万元≤最近一年营业收入＜20,000万元的企业，比例≥4%，得2分；＜4%，得1分；=0，得0分。</w:t>
            </w:r>
          </w:p>
        </w:tc>
      </w:tr>
      <w:tr w14:paraId="2CF665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43A06ADC">
            <w:pPr>
              <w:spacing w:before="156" w:beforeLines="50" w:after="156" w:afterLines="50"/>
              <w:jc w:val="center"/>
              <w:rPr>
                <w:rFonts w:hint="eastAsia" w:ascii="宋体" w:hAnsi="宋体"/>
              </w:rPr>
            </w:pPr>
          </w:p>
        </w:tc>
        <w:tc>
          <w:tcPr>
            <w:tcW w:w="1544" w:type="dxa"/>
            <w:vMerge w:val="continue"/>
            <w:vAlign w:val="center"/>
          </w:tcPr>
          <w:p w14:paraId="7C304419">
            <w:pPr>
              <w:spacing w:before="156" w:beforeLines="50" w:after="156" w:afterLines="50"/>
              <w:jc w:val="center"/>
              <w:rPr>
                <w:rFonts w:hint="eastAsia" w:ascii="宋体" w:hAnsi="宋体"/>
              </w:rPr>
            </w:pPr>
          </w:p>
        </w:tc>
        <w:tc>
          <w:tcPr>
            <w:tcW w:w="2103" w:type="dxa"/>
            <w:vMerge w:val="continue"/>
            <w:vAlign w:val="center"/>
          </w:tcPr>
          <w:p w14:paraId="62B16C8A">
            <w:pPr>
              <w:spacing w:before="156" w:beforeLines="50" w:after="156" w:afterLines="50"/>
              <w:jc w:val="left"/>
              <w:rPr>
                <w:rFonts w:hint="eastAsia" w:ascii="宋体" w:hAnsi="宋体"/>
              </w:rPr>
            </w:pPr>
          </w:p>
        </w:tc>
        <w:tc>
          <w:tcPr>
            <w:tcW w:w="891" w:type="dxa"/>
            <w:vMerge w:val="continue"/>
            <w:vAlign w:val="center"/>
          </w:tcPr>
          <w:p w14:paraId="4B9DD4E8">
            <w:pPr>
              <w:spacing w:before="156" w:beforeLines="50" w:after="156" w:afterLines="50"/>
              <w:jc w:val="center"/>
              <w:rPr>
                <w:rFonts w:hint="eastAsia" w:ascii="宋体" w:hAnsi="宋体"/>
              </w:rPr>
            </w:pPr>
          </w:p>
        </w:tc>
        <w:tc>
          <w:tcPr>
            <w:tcW w:w="3017" w:type="dxa"/>
            <w:vMerge w:val="continue"/>
            <w:vAlign w:val="center"/>
          </w:tcPr>
          <w:p w14:paraId="00FD9BE8">
            <w:pPr>
              <w:spacing w:before="156" w:beforeLines="50" w:after="156" w:afterLines="50"/>
              <w:jc w:val="left"/>
              <w:rPr>
                <w:rFonts w:hint="eastAsia" w:ascii="宋体" w:hAnsi="宋体"/>
              </w:rPr>
            </w:pPr>
          </w:p>
        </w:tc>
        <w:tc>
          <w:tcPr>
            <w:tcW w:w="5684" w:type="dxa"/>
            <w:vAlign w:val="center"/>
          </w:tcPr>
          <w:p w14:paraId="1C52BBAC">
            <w:pPr>
              <w:spacing w:before="156" w:beforeLines="50" w:after="156" w:afterLines="50"/>
              <w:jc w:val="left"/>
              <w:rPr>
                <w:rFonts w:hint="eastAsia" w:ascii="宋体" w:hAnsi="宋体"/>
              </w:rPr>
            </w:pPr>
            <w:r>
              <w:rPr>
                <w:rFonts w:hint="eastAsia" w:ascii="宋体" w:hAnsi="宋体"/>
              </w:rPr>
              <w:t>最近一年营业收入≥20,000万元以上的企业，比例≥3%，得2分；＜3%，得1分；=0，得0分。</w:t>
            </w:r>
          </w:p>
        </w:tc>
      </w:tr>
      <w:tr w14:paraId="2D589D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64" w:hRule="atLeast"/>
        </w:trPr>
        <w:tc>
          <w:tcPr>
            <w:tcW w:w="1302" w:type="dxa"/>
            <w:vMerge w:val="continue"/>
            <w:vAlign w:val="center"/>
          </w:tcPr>
          <w:p w14:paraId="0398A8E2">
            <w:pPr>
              <w:spacing w:before="156" w:beforeLines="50" w:after="156" w:afterLines="50"/>
              <w:jc w:val="center"/>
              <w:rPr>
                <w:rFonts w:hint="eastAsia" w:ascii="宋体" w:hAnsi="宋体"/>
              </w:rPr>
            </w:pPr>
          </w:p>
        </w:tc>
        <w:tc>
          <w:tcPr>
            <w:tcW w:w="1544" w:type="dxa"/>
            <w:vMerge w:val="continue"/>
            <w:vAlign w:val="center"/>
          </w:tcPr>
          <w:p w14:paraId="12938B88">
            <w:pPr>
              <w:spacing w:before="156" w:beforeLines="50" w:after="156" w:afterLines="50"/>
              <w:jc w:val="center"/>
              <w:rPr>
                <w:rFonts w:hint="eastAsia" w:ascii="宋体" w:hAnsi="宋体"/>
              </w:rPr>
            </w:pPr>
          </w:p>
        </w:tc>
        <w:tc>
          <w:tcPr>
            <w:tcW w:w="2103" w:type="dxa"/>
            <w:vAlign w:val="center"/>
          </w:tcPr>
          <w:p w14:paraId="415C9CB0">
            <w:pPr>
              <w:spacing w:before="156" w:beforeLines="50" w:after="156" w:afterLines="50"/>
              <w:jc w:val="left"/>
              <w:rPr>
                <w:rFonts w:hint="eastAsia" w:ascii="宋体" w:hAnsi="宋体"/>
              </w:rPr>
            </w:pPr>
            <w:r>
              <w:rPr>
                <w:rFonts w:hint="eastAsia" w:ascii="宋体" w:hAnsi="宋体"/>
              </w:rPr>
              <w:t>科技奖励、知识产权及标准制定</w:t>
            </w:r>
          </w:p>
        </w:tc>
        <w:tc>
          <w:tcPr>
            <w:tcW w:w="891" w:type="dxa"/>
            <w:noWrap/>
            <w:vAlign w:val="center"/>
          </w:tcPr>
          <w:p w14:paraId="18F3D795">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5DA21D6F">
            <w:pPr>
              <w:spacing w:before="156" w:beforeLines="50" w:after="156" w:afterLines="50"/>
              <w:jc w:val="left"/>
              <w:rPr>
                <w:rFonts w:hint="eastAsia" w:ascii="宋体" w:hAnsi="宋体"/>
              </w:rPr>
            </w:pPr>
            <w:r>
              <w:rPr>
                <w:rFonts w:hint="eastAsia" w:ascii="宋体" w:hAnsi="宋体"/>
              </w:rPr>
              <w:t>在科技奖励、知识产权及标准制定方面的情况。</w:t>
            </w:r>
          </w:p>
        </w:tc>
        <w:tc>
          <w:tcPr>
            <w:tcW w:w="5684" w:type="dxa"/>
            <w:vAlign w:val="center"/>
          </w:tcPr>
          <w:p w14:paraId="2F500EE8">
            <w:pPr>
              <w:spacing w:before="156" w:beforeLines="50" w:after="156" w:afterLines="50"/>
              <w:jc w:val="left"/>
              <w:rPr>
                <w:rFonts w:hint="eastAsia" w:ascii="宋体" w:hAnsi="宋体"/>
              </w:rPr>
            </w:pPr>
            <w:r>
              <w:rPr>
                <w:rFonts w:hint="eastAsia" w:ascii="宋体" w:hAnsi="宋体"/>
              </w:rPr>
              <w:t>近五年获得科技奖励、取得知识产权或参与国际标准、国家标准、行标、团标、地标制定中的任一项，得2分；制定与砂石行业生产经营相关的备案企标，1项得1分，最高得2分；无，得0分。</w:t>
            </w:r>
          </w:p>
        </w:tc>
      </w:tr>
      <w:tr w14:paraId="748025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88" w:hRule="atLeast"/>
        </w:trPr>
        <w:tc>
          <w:tcPr>
            <w:tcW w:w="1302" w:type="dxa"/>
            <w:vMerge w:val="continue"/>
            <w:vAlign w:val="center"/>
          </w:tcPr>
          <w:p w14:paraId="3B9062A3">
            <w:pPr>
              <w:spacing w:before="156" w:beforeLines="50" w:after="156" w:afterLines="50"/>
              <w:jc w:val="center"/>
              <w:rPr>
                <w:rFonts w:hint="eastAsia" w:ascii="宋体" w:hAnsi="宋体"/>
              </w:rPr>
            </w:pPr>
          </w:p>
        </w:tc>
        <w:tc>
          <w:tcPr>
            <w:tcW w:w="1544" w:type="dxa"/>
            <w:vMerge w:val="restart"/>
            <w:vAlign w:val="center"/>
          </w:tcPr>
          <w:p w14:paraId="2D24DFC8">
            <w:pPr>
              <w:spacing w:before="156" w:beforeLines="50" w:after="156" w:afterLines="50"/>
              <w:jc w:val="center"/>
              <w:rPr>
                <w:rFonts w:hint="eastAsia" w:ascii="宋体" w:hAnsi="宋体"/>
              </w:rPr>
            </w:pPr>
            <w:r>
              <w:rPr>
                <w:rFonts w:hint="eastAsia" w:ascii="宋体" w:hAnsi="宋体"/>
              </w:rPr>
              <w:t>营销能力</w:t>
            </w:r>
            <w:r>
              <w:rPr>
                <w:rFonts w:hint="eastAsia" w:ascii="宋体" w:hAnsi="宋体"/>
              </w:rPr>
              <w:br w:type="textWrapping"/>
            </w:r>
            <w:r>
              <w:rPr>
                <w:rFonts w:hint="eastAsia" w:ascii="宋体" w:hAnsi="宋体"/>
              </w:rPr>
              <w:t>（8分）</w:t>
            </w:r>
          </w:p>
        </w:tc>
        <w:tc>
          <w:tcPr>
            <w:tcW w:w="2103" w:type="dxa"/>
            <w:vAlign w:val="center"/>
          </w:tcPr>
          <w:p w14:paraId="7AA9C9F4">
            <w:pPr>
              <w:spacing w:before="156" w:beforeLines="50" w:after="156" w:afterLines="50"/>
              <w:jc w:val="left"/>
              <w:rPr>
                <w:rFonts w:hint="eastAsia" w:ascii="宋体" w:hAnsi="宋体"/>
              </w:rPr>
            </w:pPr>
            <w:r>
              <w:rPr>
                <w:rFonts w:hint="eastAsia" w:ascii="宋体" w:hAnsi="宋体"/>
              </w:rPr>
              <w:t>主营业务</w:t>
            </w:r>
          </w:p>
        </w:tc>
        <w:tc>
          <w:tcPr>
            <w:tcW w:w="891" w:type="dxa"/>
            <w:noWrap/>
            <w:vAlign w:val="center"/>
          </w:tcPr>
          <w:p w14:paraId="5EB58EB9">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76313D6C">
            <w:pPr>
              <w:spacing w:before="156" w:beforeLines="50" w:after="156" w:afterLines="50"/>
              <w:jc w:val="left"/>
              <w:rPr>
                <w:rFonts w:hint="eastAsia" w:ascii="宋体" w:hAnsi="宋体"/>
              </w:rPr>
            </w:pPr>
            <w:r>
              <w:rPr>
                <w:rFonts w:hint="eastAsia" w:ascii="宋体" w:hAnsi="宋体"/>
              </w:rPr>
              <w:t>主营业务情况。</w:t>
            </w:r>
          </w:p>
        </w:tc>
        <w:tc>
          <w:tcPr>
            <w:tcW w:w="5684" w:type="dxa"/>
            <w:vAlign w:val="center"/>
          </w:tcPr>
          <w:p w14:paraId="5A0E5FDA">
            <w:pPr>
              <w:spacing w:before="156" w:beforeLines="50" w:after="156" w:afterLines="50"/>
              <w:jc w:val="left"/>
              <w:rPr>
                <w:rFonts w:hint="eastAsia" w:ascii="宋体" w:hAnsi="宋体"/>
              </w:rPr>
            </w:pPr>
            <w:r>
              <w:rPr>
                <w:rFonts w:hint="eastAsia" w:ascii="宋体" w:hAnsi="宋体"/>
              </w:rPr>
              <w:t>符合行业发展情况，得2分；否，得0分。</w:t>
            </w:r>
          </w:p>
        </w:tc>
      </w:tr>
      <w:tr w14:paraId="141877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0" w:hRule="atLeast"/>
        </w:trPr>
        <w:tc>
          <w:tcPr>
            <w:tcW w:w="1302" w:type="dxa"/>
            <w:vMerge w:val="continue"/>
            <w:vAlign w:val="center"/>
          </w:tcPr>
          <w:p w14:paraId="73335FBA">
            <w:pPr>
              <w:spacing w:before="156" w:beforeLines="50" w:after="156" w:afterLines="50"/>
              <w:jc w:val="center"/>
              <w:rPr>
                <w:rFonts w:hint="eastAsia" w:ascii="宋体" w:hAnsi="宋体"/>
              </w:rPr>
            </w:pPr>
          </w:p>
        </w:tc>
        <w:tc>
          <w:tcPr>
            <w:tcW w:w="1544" w:type="dxa"/>
            <w:vMerge w:val="continue"/>
            <w:vAlign w:val="center"/>
          </w:tcPr>
          <w:p w14:paraId="14EC4DCC">
            <w:pPr>
              <w:spacing w:before="156" w:beforeLines="50" w:after="156" w:afterLines="50"/>
              <w:jc w:val="center"/>
              <w:rPr>
                <w:rFonts w:hint="eastAsia" w:ascii="宋体" w:hAnsi="宋体"/>
              </w:rPr>
            </w:pPr>
          </w:p>
        </w:tc>
        <w:tc>
          <w:tcPr>
            <w:tcW w:w="2103" w:type="dxa"/>
            <w:vAlign w:val="center"/>
          </w:tcPr>
          <w:p w14:paraId="48713BE3">
            <w:pPr>
              <w:spacing w:before="156" w:beforeLines="50" w:after="156" w:afterLines="50"/>
              <w:jc w:val="left"/>
              <w:rPr>
                <w:rFonts w:hint="eastAsia" w:ascii="宋体" w:hAnsi="宋体"/>
              </w:rPr>
            </w:pPr>
            <w:r>
              <w:rPr>
                <w:rFonts w:hint="eastAsia" w:ascii="宋体" w:hAnsi="宋体"/>
              </w:rPr>
              <w:t>业务区域</w:t>
            </w:r>
          </w:p>
        </w:tc>
        <w:tc>
          <w:tcPr>
            <w:tcW w:w="891" w:type="dxa"/>
            <w:noWrap/>
            <w:vAlign w:val="center"/>
          </w:tcPr>
          <w:p w14:paraId="3B1356D2">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6FF68A95">
            <w:pPr>
              <w:spacing w:before="156" w:beforeLines="50" w:after="156" w:afterLines="50"/>
              <w:jc w:val="left"/>
              <w:rPr>
                <w:rFonts w:hint="eastAsia" w:ascii="宋体" w:hAnsi="宋体"/>
              </w:rPr>
            </w:pPr>
            <w:r>
              <w:rPr>
                <w:rFonts w:hint="eastAsia" w:ascii="宋体" w:hAnsi="宋体"/>
              </w:rPr>
              <w:t>业务应用的市场范围。</w:t>
            </w:r>
          </w:p>
        </w:tc>
        <w:tc>
          <w:tcPr>
            <w:tcW w:w="5684" w:type="dxa"/>
            <w:vAlign w:val="center"/>
          </w:tcPr>
          <w:p w14:paraId="602F5D3B">
            <w:pPr>
              <w:spacing w:before="156" w:beforeLines="50" w:after="156" w:afterLines="50"/>
              <w:jc w:val="left"/>
              <w:rPr>
                <w:rFonts w:hint="eastAsia" w:ascii="宋体" w:hAnsi="宋体"/>
              </w:rPr>
            </w:pPr>
            <w:r>
              <w:rPr>
                <w:rFonts w:hint="eastAsia" w:ascii="宋体" w:hAnsi="宋体"/>
              </w:rPr>
              <w:t>国内、国外，得2分； 面向全国或出口为主，得1.6分；面向临近各省、市或特定地区，得1.2分；本省、市，得0.8分。</w:t>
            </w:r>
          </w:p>
        </w:tc>
      </w:tr>
      <w:tr w14:paraId="06DFBC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24" w:hRule="atLeast"/>
        </w:trPr>
        <w:tc>
          <w:tcPr>
            <w:tcW w:w="1302" w:type="dxa"/>
            <w:vMerge w:val="continue"/>
            <w:vAlign w:val="center"/>
          </w:tcPr>
          <w:p w14:paraId="09BBA53E">
            <w:pPr>
              <w:spacing w:before="156" w:beforeLines="50" w:after="156" w:afterLines="50"/>
              <w:jc w:val="center"/>
              <w:rPr>
                <w:rFonts w:hint="eastAsia" w:ascii="宋体" w:hAnsi="宋体"/>
              </w:rPr>
            </w:pPr>
          </w:p>
        </w:tc>
        <w:tc>
          <w:tcPr>
            <w:tcW w:w="1544" w:type="dxa"/>
            <w:vMerge w:val="continue"/>
            <w:vAlign w:val="center"/>
          </w:tcPr>
          <w:p w14:paraId="7EBEFF54">
            <w:pPr>
              <w:spacing w:before="156" w:beforeLines="50" w:after="156" w:afterLines="50"/>
              <w:jc w:val="center"/>
              <w:rPr>
                <w:rFonts w:hint="eastAsia" w:ascii="宋体" w:hAnsi="宋体"/>
              </w:rPr>
            </w:pPr>
          </w:p>
        </w:tc>
        <w:tc>
          <w:tcPr>
            <w:tcW w:w="2103" w:type="dxa"/>
            <w:vAlign w:val="center"/>
          </w:tcPr>
          <w:p w14:paraId="0056487C">
            <w:pPr>
              <w:spacing w:before="156" w:beforeLines="50" w:after="156" w:afterLines="50"/>
              <w:jc w:val="left"/>
              <w:rPr>
                <w:rFonts w:hint="eastAsia" w:ascii="宋体" w:hAnsi="宋体"/>
              </w:rPr>
            </w:pPr>
            <w:r>
              <w:rPr>
                <w:rFonts w:hint="eastAsia" w:ascii="宋体" w:hAnsi="宋体"/>
              </w:rPr>
              <w:t>主要客户依赖度</w:t>
            </w:r>
          </w:p>
        </w:tc>
        <w:tc>
          <w:tcPr>
            <w:tcW w:w="891" w:type="dxa"/>
            <w:noWrap/>
            <w:vAlign w:val="center"/>
          </w:tcPr>
          <w:p w14:paraId="0927600B">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469C32CE">
            <w:pPr>
              <w:spacing w:before="156" w:beforeLines="50" w:after="156" w:afterLines="50"/>
              <w:jc w:val="left"/>
              <w:rPr>
                <w:rFonts w:hint="eastAsia" w:ascii="宋体" w:hAnsi="宋体"/>
              </w:rPr>
            </w:pPr>
            <w:r>
              <w:rPr>
                <w:rFonts w:hint="eastAsia" w:ascii="宋体" w:hAnsi="宋体"/>
              </w:rPr>
              <w:t>对主要客户的依存度。</w:t>
            </w:r>
          </w:p>
        </w:tc>
        <w:tc>
          <w:tcPr>
            <w:tcW w:w="5684" w:type="dxa"/>
            <w:vAlign w:val="center"/>
          </w:tcPr>
          <w:p w14:paraId="7155E283">
            <w:pPr>
              <w:spacing w:before="156" w:beforeLines="50" w:after="156" w:afterLines="50"/>
              <w:jc w:val="left"/>
              <w:rPr>
                <w:rFonts w:hint="eastAsia" w:ascii="宋体" w:hAnsi="宋体"/>
              </w:rPr>
            </w:pPr>
            <w:r>
              <w:rPr>
                <w:rFonts w:hint="eastAsia" w:ascii="宋体" w:hAnsi="宋体"/>
              </w:rPr>
              <w:t>前五位客户占到全部营业收入比重＜60%，得2分；≥60%，得1分。</w:t>
            </w:r>
          </w:p>
        </w:tc>
      </w:tr>
      <w:tr w14:paraId="2D8CE1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continue"/>
            <w:vAlign w:val="center"/>
          </w:tcPr>
          <w:p w14:paraId="50598ABC">
            <w:pPr>
              <w:spacing w:before="156" w:beforeLines="50" w:after="156" w:afterLines="50"/>
              <w:jc w:val="center"/>
              <w:rPr>
                <w:rFonts w:hint="eastAsia" w:ascii="宋体" w:hAnsi="宋体"/>
              </w:rPr>
            </w:pPr>
          </w:p>
        </w:tc>
        <w:tc>
          <w:tcPr>
            <w:tcW w:w="1544" w:type="dxa"/>
            <w:vMerge w:val="continue"/>
            <w:vAlign w:val="center"/>
          </w:tcPr>
          <w:p w14:paraId="162C3ED8">
            <w:pPr>
              <w:spacing w:before="156" w:beforeLines="50" w:after="156" w:afterLines="50"/>
              <w:jc w:val="center"/>
              <w:rPr>
                <w:rFonts w:hint="eastAsia" w:ascii="宋体" w:hAnsi="宋体"/>
              </w:rPr>
            </w:pPr>
          </w:p>
        </w:tc>
        <w:tc>
          <w:tcPr>
            <w:tcW w:w="2103" w:type="dxa"/>
            <w:vAlign w:val="center"/>
          </w:tcPr>
          <w:p w14:paraId="3A739134">
            <w:pPr>
              <w:spacing w:before="156" w:beforeLines="50" w:after="156" w:afterLines="50"/>
              <w:jc w:val="left"/>
              <w:rPr>
                <w:rFonts w:hint="eastAsia" w:ascii="宋体" w:hAnsi="宋体"/>
              </w:rPr>
            </w:pPr>
            <w:r>
              <w:rPr>
                <w:rFonts w:hint="eastAsia" w:ascii="宋体" w:hAnsi="宋体"/>
              </w:rPr>
              <w:t>营业收入</w:t>
            </w:r>
          </w:p>
        </w:tc>
        <w:tc>
          <w:tcPr>
            <w:tcW w:w="891" w:type="dxa"/>
            <w:noWrap/>
            <w:vAlign w:val="center"/>
          </w:tcPr>
          <w:p w14:paraId="7E963C39">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649149B8">
            <w:pPr>
              <w:spacing w:before="156" w:beforeLines="50" w:after="156" w:afterLines="50"/>
              <w:jc w:val="left"/>
              <w:rPr>
                <w:rFonts w:hint="eastAsia" w:ascii="宋体" w:hAnsi="宋体"/>
              </w:rPr>
            </w:pPr>
            <w:r>
              <w:rPr>
                <w:rFonts w:hint="eastAsia" w:ascii="宋体" w:hAnsi="宋体"/>
              </w:rPr>
              <w:t>作为主要经营成果之一，是企业取得利润的重要保障。</w:t>
            </w:r>
          </w:p>
        </w:tc>
        <w:tc>
          <w:tcPr>
            <w:tcW w:w="5684" w:type="dxa"/>
            <w:vAlign w:val="center"/>
          </w:tcPr>
          <w:p w14:paraId="34C61127">
            <w:pPr>
              <w:spacing w:before="156" w:beforeLines="50" w:after="156" w:afterLines="50"/>
              <w:jc w:val="left"/>
              <w:rPr>
                <w:rFonts w:hint="eastAsia" w:ascii="宋体" w:hAnsi="宋体"/>
              </w:rPr>
            </w:pPr>
            <w:r>
              <w:rPr>
                <w:rFonts w:hint="eastAsia" w:ascii="宋体" w:hAnsi="宋体"/>
              </w:rPr>
              <w:t>营业收入≥40000万元，得2分；2000万元≤营业收入＜40000万元，得1.6分；300万元≤营业收入＜2000万元，得1.2分；营业收入＜300万元，得0.8分。</w:t>
            </w:r>
          </w:p>
        </w:tc>
      </w:tr>
      <w:tr w14:paraId="51B36E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10C43C5C">
            <w:pPr>
              <w:spacing w:before="156" w:beforeLines="50" w:after="156" w:afterLines="50"/>
              <w:jc w:val="center"/>
              <w:rPr>
                <w:rFonts w:hint="eastAsia" w:ascii="宋体" w:hAnsi="宋体"/>
              </w:rPr>
            </w:pPr>
          </w:p>
        </w:tc>
        <w:tc>
          <w:tcPr>
            <w:tcW w:w="1544" w:type="dxa"/>
            <w:vMerge w:val="restart"/>
            <w:vAlign w:val="center"/>
          </w:tcPr>
          <w:p w14:paraId="534C412E">
            <w:pPr>
              <w:spacing w:before="156" w:beforeLines="50" w:after="156" w:afterLines="50"/>
              <w:jc w:val="center"/>
              <w:rPr>
                <w:rFonts w:hint="eastAsia" w:ascii="宋体" w:hAnsi="宋体"/>
              </w:rPr>
            </w:pPr>
            <w:r>
              <w:rPr>
                <w:rFonts w:hint="eastAsia" w:ascii="宋体" w:hAnsi="宋体"/>
              </w:rPr>
              <w:t>质量管理</w:t>
            </w:r>
            <w:r>
              <w:rPr>
                <w:rFonts w:hint="eastAsia" w:ascii="宋体" w:hAnsi="宋体"/>
              </w:rPr>
              <w:br w:type="textWrapping"/>
            </w:r>
            <w:r>
              <w:rPr>
                <w:rFonts w:hint="eastAsia" w:ascii="宋体" w:hAnsi="宋体"/>
              </w:rPr>
              <w:t>（6分）</w:t>
            </w:r>
          </w:p>
        </w:tc>
        <w:tc>
          <w:tcPr>
            <w:tcW w:w="2103" w:type="dxa"/>
            <w:vAlign w:val="center"/>
          </w:tcPr>
          <w:p w14:paraId="2F6D5E8C">
            <w:pPr>
              <w:spacing w:before="156" w:beforeLines="50" w:after="156" w:afterLines="50"/>
              <w:jc w:val="left"/>
              <w:rPr>
                <w:rFonts w:hint="eastAsia" w:ascii="宋体" w:hAnsi="宋体"/>
              </w:rPr>
            </w:pPr>
            <w:r>
              <w:rPr>
                <w:rFonts w:hint="eastAsia" w:ascii="宋体" w:hAnsi="宋体"/>
              </w:rPr>
              <w:t>质量管理体系</w:t>
            </w:r>
          </w:p>
        </w:tc>
        <w:tc>
          <w:tcPr>
            <w:tcW w:w="891" w:type="dxa"/>
            <w:noWrap/>
            <w:vAlign w:val="center"/>
          </w:tcPr>
          <w:p w14:paraId="11D0FCB9">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197C1336">
            <w:pPr>
              <w:spacing w:before="156" w:beforeLines="50" w:after="156" w:afterLines="50"/>
              <w:jc w:val="left"/>
              <w:rPr>
                <w:rFonts w:hint="eastAsia" w:ascii="宋体" w:hAnsi="宋体"/>
              </w:rPr>
            </w:pPr>
            <w:r>
              <w:rPr>
                <w:rFonts w:hint="eastAsia" w:ascii="宋体" w:hAnsi="宋体"/>
              </w:rPr>
              <w:t>保障产品质量的能力、态度及相关管理制度和运行情况。</w:t>
            </w:r>
          </w:p>
        </w:tc>
        <w:tc>
          <w:tcPr>
            <w:tcW w:w="5684" w:type="dxa"/>
            <w:vAlign w:val="center"/>
          </w:tcPr>
          <w:p w14:paraId="47F9B577">
            <w:pPr>
              <w:spacing w:before="156" w:beforeLines="50" w:after="156" w:afterLines="50"/>
              <w:jc w:val="left"/>
              <w:rPr>
                <w:rFonts w:hint="eastAsia" w:ascii="宋体" w:hAnsi="宋体"/>
              </w:rPr>
            </w:pPr>
            <w:r>
              <w:rPr>
                <w:rFonts w:hint="eastAsia" w:ascii="宋体" w:hAnsi="宋体"/>
              </w:rPr>
              <w:t>取得在有效期内的质量管理体系认证，得2分；过期、被撤销或无质量管理体系认证等，得0分。</w:t>
            </w:r>
          </w:p>
        </w:tc>
      </w:tr>
      <w:tr w14:paraId="01A541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664" w:hRule="atLeast"/>
        </w:trPr>
        <w:tc>
          <w:tcPr>
            <w:tcW w:w="1302" w:type="dxa"/>
            <w:vMerge w:val="continue"/>
            <w:vAlign w:val="center"/>
          </w:tcPr>
          <w:p w14:paraId="6BA5B6CC">
            <w:pPr>
              <w:spacing w:before="156" w:beforeLines="50" w:after="156" w:afterLines="50"/>
              <w:jc w:val="center"/>
              <w:rPr>
                <w:rFonts w:hint="eastAsia" w:ascii="宋体" w:hAnsi="宋体"/>
              </w:rPr>
            </w:pPr>
          </w:p>
        </w:tc>
        <w:tc>
          <w:tcPr>
            <w:tcW w:w="1544" w:type="dxa"/>
            <w:vMerge w:val="continue"/>
            <w:vAlign w:val="center"/>
          </w:tcPr>
          <w:p w14:paraId="4F628F31">
            <w:pPr>
              <w:spacing w:before="156" w:beforeLines="50" w:after="156" w:afterLines="50"/>
              <w:jc w:val="center"/>
              <w:rPr>
                <w:rFonts w:hint="eastAsia" w:ascii="宋体" w:hAnsi="宋体"/>
              </w:rPr>
            </w:pPr>
          </w:p>
        </w:tc>
        <w:tc>
          <w:tcPr>
            <w:tcW w:w="2103" w:type="dxa"/>
            <w:vAlign w:val="center"/>
          </w:tcPr>
          <w:p w14:paraId="131C37F9">
            <w:pPr>
              <w:spacing w:before="156" w:beforeLines="50" w:after="156" w:afterLines="50"/>
              <w:jc w:val="left"/>
              <w:rPr>
                <w:rFonts w:hint="eastAsia" w:ascii="宋体" w:hAnsi="宋体"/>
              </w:rPr>
            </w:pPr>
            <w:r>
              <w:rPr>
                <w:rFonts w:hint="eastAsia" w:ascii="宋体" w:hAnsi="宋体"/>
              </w:rPr>
              <w:t>质量管理制度</w:t>
            </w:r>
          </w:p>
        </w:tc>
        <w:tc>
          <w:tcPr>
            <w:tcW w:w="891" w:type="dxa"/>
            <w:noWrap/>
            <w:vAlign w:val="center"/>
          </w:tcPr>
          <w:p w14:paraId="3C9C17E2">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4B4D1D6E">
            <w:pPr>
              <w:spacing w:before="156" w:beforeLines="50" w:after="156" w:afterLines="50"/>
              <w:jc w:val="left"/>
              <w:rPr>
                <w:rFonts w:hint="eastAsia" w:ascii="宋体" w:hAnsi="宋体"/>
              </w:rPr>
            </w:pPr>
            <w:r>
              <w:rPr>
                <w:rFonts w:hint="eastAsia" w:ascii="宋体" w:hAnsi="宋体"/>
              </w:rPr>
              <w:t>用于指导企业进行质量管理的规则和程序，以确保其产品或服务的质量满足或超过顾客的期望。包括：制定明确的质量管理政策和目标，建立有效的质量标准及检验规范，定期进行质量管理控制流程检查，建立质量信息反馈机制，定期开展质量管理制度的培训及修订等。</w:t>
            </w:r>
          </w:p>
        </w:tc>
        <w:tc>
          <w:tcPr>
            <w:tcW w:w="5684" w:type="dxa"/>
            <w:vAlign w:val="center"/>
          </w:tcPr>
          <w:p w14:paraId="686EE71D">
            <w:pPr>
              <w:spacing w:before="156" w:beforeLines="50" w:after="156" w:afterLines="50"/>
              <w:jc w:val="left"/>
              <w:rPr>
                <w:rFonts w:hint="eastAsia" w:ascii="宋体" w:hAnsi="宋体"/>
              </w:rPr>
            </w:pPr>
            <w:r>
              <w:rPr>
                <w:rFonts w:hint="eastAsia" w:ascii="宋体" w:hAnsi="宋体"/>
              </w:rPr>
              <w:t>有5条，得2分；少1项，扣减0.4分，最高扣2分。</w:t>
            </w:r>
          </w:p>
        </w:tc>
      </w:tr>
      <w:tr w14:paraId="766F36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52" w:hRule="atLeast"/>
        </w:trPr>
        <w:tc>
          <w:tcPr>
            <w:tcW w:w="1302" w:type="dxa"/>
            <w:vMerge w:val="continue"/>
            <w:vAlign w:val="center"/>
          </w:tcPr>
          <w:p w14:paraId="3BD9BEB2">
            <w:pPr>
              <w:spacing w:before="156" w:beforeLines="50" w:after="156" w:afterLines="50"/>
              <w:jc w:val="center"/>
              <w:rPr>
                <w:rFonts w:hint="eastAsia" w:ascii="宋体" w:hAnsi="宋体"/>
              </w:rPr>
            </w:pPr>
          </w:p>
        </w:tc>
        <w:tc>
          <w:tcPr>
            <w:tcW w:w="1544" w:type="dxa"/>
            <w:vMerge w:val="continue"/>
            <w:vAlign w:val="center"/>
          </w:tcPr>
          <w:p w14:paraId="2B75841D">
            <w:pPr>
              <w:spacing w:before="156" w:beforeLines="50" w:after="156" w:afterLines="50"/>
              <w:jc w:val="center"/>
              <w:rPr>
                <w:rFonts w:hint="eastAsia" w:ascii="宋体" w:hAnsi="宋体"/>
              </w:rPr>
            </w:pPr>
          </w:p>
        </w:tc>
        <w:tc>
          <w:tcPr>
            <w:tcW w:w="2103" w:type="dxa"/>
            <w:vAlign w:val="center"/>
          </w:tcPr>
          <w:p w14:paraId="565A1C7C">
            <w:pPr>
              <w:spacing w:before="156" w:beforeLines="50" w:after="156" w:afterLines="50"/>
              <w:jc w:val="left"/>
              <w:rPr>
                <w:rFonts w:hint="eastAsia" w:ascii="宋体" w:hAnsi="宋体"/>
              </w:rPr>
            </w:pPr>
            <w:r>
              <w:rPr>
                <w:rFonts w:hint="eastAsia" w:ascii="宋体" w:hAnsi="宋体"/>
              </w:rPr>
              <w:t>质量保障管理</w:t>
            </w:r>
          </w:p>
        </w:tc>
        <w:tc>
          <w:tcPr>
            <w:tcW w:w="891" w:type="dxa"/>
            <w:noWrap/>
            <w:vAlign w:val="center"/>
          </w:tcPr>
          <w:p w14:paraId="5A03939E">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5642F4AE">
            <w:pPr>
              <w:spacing w:before="156" w:beforeLines="50" w:after="156" w:afterLines="50"/>
              <w:jc w:val="left"/>
              <w:rPr>
                <w:rFonts w:hint="eastAsia" w:ascii="宋体" w:hAnsi="宋体"/>
              </w:rPr>
            </w:pPr>
            <w:r>
              <w:rPr>
                <w:rFonts w:hint="eastAsia" w:ascii="宋体" w:hAnsi="宋体"/>
              </w:rPr>
              <w:t>建立质量保障措施，开展质量监控与评估，持续进行质量改进与优化，提供在有效期内的质量检测报告或自身出具的质检报告。</w:t>
            </w:r>
          </w:p>
        </w:tc>
        <w:tc>
          <w:tcPr>
            <w:tcW w:w="5684" w:type="dxa"/>
            <w:vAlign w:val="center"/>
          </w:tcPr>
          <w:p w14:paraId="61B1A0B5">
            <w:pPr>
              <w:spacing w:before="156" w:beforeLines="50" w:after="156" w:afterLines="50"/>
              <w:jc w:val="left"/>
              <w:rPr>
                <w:rFonts w:hint="eastAsia" w:ascii="宋体" w:hAnsi="宋体"/>
              </w:rPr>
            </w:pPr>
            <w:r>
              <w:rPr>
                <w:rFonts w:hint="eastAsia" w:ascii="宋体" w:hAnsi="宋体"/>
              </w:rPr>
              <w:t>有4条，得2分；少1项，扣减0.5分，最高扣2分。</w:t>
            </w:r>
          </w:p>
        </w:tc>
      </w:tr>
      <w:tr w14:paraId="264317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23857C3B">
            <w:pPr>
              <w:spacing w:before="156" w:beforeLines="50" w:after="156" w:afterLines="50"/>
              <w:jc w:val="center"/>
              <w:rPr>
                <w:rFonts w:hint="eastAsia" w:ascii="宋体" w:hAnsi="宋体"/>
              </w:rPr>
            </w:pPr>
          </w:p>
        </w:tc>
        <w:tc>
          <w:tcPr>
            <w:tcW w:w="1544" w:type="dxa"/>
            <w:vMerge w:val="restart"/>
            <w:vAlign w:val="center"/>
          </w:tcPr>
          <w:p w14:paraId="52FBB362">
            <w:pPr>
              <w:spacing w:before="156" w:beforeLines="50" w:after="156" w:afterLines="50"/>
              <w:jc w:val="center"/>
              <w:rPr>
                <w:rFonts w:hint="eastAsia" w:ascii="宋体" w:hAnsi="宋体"/>
              </w:rPr>
            </w:pPr>
            <w:r>
              <w:rPr>
                <w:rFonts w:hint="eastAsia" w:ascii="宋体" w:hAnsi="宋体"/>
              </w:rPr>
              <w:t>过程控制</w:t>
            </w:r>
            <w:r>
              <w:rPr>
                <w:rFonts w:hint="eastAsia" w:ascii="宋体" w:hAnsi="宋体"/>
              </w:rPr>
              <w:br w:type="textWrapping"/>
            </w:r>
            <w:r>
              <w:rPr>
                <w:rFonts w:hint="eastAsia" w:ascii="宋体" w:hAnsi="宋体"/>
              </w:rPr>
              <w:t>（4分）</w:t>
            </w:r>
          </w:p>
        </w:tc>
        <w:tc>
          <w:tcPr>
            <w:tcW w:w="2103" w:type="dxa"/>
            <w:vAlign w:val="center"/>
          </w:tcPr>
          <w:p w14:paraId="1D1D892D">
            <w:pPr>
              <w:spacing w:before="156" w:beforeLines="50" w:after="156" w:afterLines="50"/>
              <w:jc w:val="left"/>
              <w:rPr>
                <w:rFonts w:hint="eastAsia" w:ascii="宋体" w:hAnsi="宋体"/>
              </w:rPr>
            </w:pPr>
            <w:r>
              <w:rPr>
                <w:rFonts w:hint="eastAsia" w:ascii="宋体" w:hAnsi="宋体"/>
              </w:rPr>
              <w:t>供应商管理</w:t>
            </w:r>
          </w:p>
        </w:tc>
        <w:tc>
          <w:tcPr>
            <w:tcW w:w="891" w:type="dxa"/>
            <w:noWrap/>
            <w:vAlign w:val="center"/>
          </w:tcPr>
          <w:p w14:paraId="11243D45">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364F4334">
            <w:pPr>
              <w:spacing w:before="156" w:beforeLines="50" w:after="156" w:afterLines="50"/>
              <w:jc w:val="left"/>
              <w:rPr>
                <w:rFonts w:hint="eastAsia" w:ascii="宋体" w:hAnsi="宋体"/>
              </w:rPr>
            </w:pPr>
            <w:r>
              <w:rPr>
                <w:rFonts w:hint="eastAsia" w:ascii="宋体" w:hAnsi="宋体"/>
              </w:rPr>
              <w:t>供应商管理情况。</w:t>
            </w:r>
          </w:p>
        </w:tc>
        <w:tc>
          <w:tcPr>
            <w:tcW w:w="5684" w:type="dxa"/>
            <w:vAlign w:val="center"/>
          </w:tcPr>
          <w:p w14:paraId="19D1F224">
            <w:pPr>
              <w:spacing w:before="156" w:beforeLines="50" w:after="156" w:afterLines="50"/>
              <w:jc w:val="left"/>
              <w:rPr>
                <w:rFonts w:hint="eastAsia" w:ascii="宋体" w:hAnsi="宋体"/>
              </w:rPr>
            </w:pPr>
            <w:r>
              <w:rPr>
                <w:rFonts w:hint="eastAsia" w:ascii="宋体" w:hAnsi="宋体"/>
              </w:rPr>
              <w:t>供应商管理制度健全，得2分；供应商管理制度基本健全得1.2分；无供应商管理制度或较笼统，得0分。</w:t>
            </w:r>
          </w:p>
        </w:tc>
      </w:tr>
      <w:tr w14:paraId="555C47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32" w:hRule="atLeast"/>
        </w:trPr>
        <w:tc>
          <w:tcPr>
            <w:tcW w:w="1302" w:type="dxa"/>
            <w:vMerge w:val="continue"/>
            <w:vAlign w:val="center"/>
          </w:tcPr>
          <w:p w14:paraId="76DC4FB1">
            <w:pPr>
              <w:spacing w:before="156" w:beforeLines="50" w:after="156" w:afterLines="50"/>
              <w:jc w:val="center"/>
              <w:rPr>
                <w:rFonts w:hint="eastAsia" w:ascii="宋体" w:hAnsi="宋体"/>
              </w:rPr>
            </w:pPr>
          </w:p>
        </w:tc>
        <w:tc>
          <w:tcPr>
            <w:tcW w:w="1544" w:type="dxa"/>
            <w:vMerge w:val="continue"/>
            <w:vAlign w:val="center"/>
          </w:tcPr>
          <w:p w14:paraId="7CEA244C">
            <w:pPr>
              <w:spacing w:before="156" w:beforeLines="50" w:after="156" w:afterLines="50"/>
              <w:jc w:val="center"/>
              <w:rPr>
                <w:rFonts w:hint="eastAsia" w:ascii="宋体" w:hAnsi="宋体"/>
              </w:rPr>
            </w:pPr>
          </w:p>
        </w:tc>
        <w:tc>
          <w:tcPr>
            <w:tcW w:w="2103" w:type="dxa"/>
            <w:vAlign w:val="center"/>
          </w:tcPr>
          <w:p w14:paraId="3D7F6023">
            <w:pPr>
              <w:spacing w:before="156" w:beforeLines="50" w:after="156" w:afterLines="50"/>
              <w:jc w:val="left"/>
              <w:rPr>
                <w:rFonts w:hint="eastAsia" w:ascii="宋体" w:hAnsi="宋体"/>
              </w:rPr>
            </w:pPr>
            <w:r>
              <w:rPr>
                <w:rFonts w:hint="eastAsia" w:ascii="宋体" w:hAnsi="宋体"/>
              </w:rPr>
              <w:t>物流及仓储管理</w:t>
            </w:r>
          </w:p>
        </w:tc>
        <w:tc>
          <w:tcPr>
            <w:tcW w:w="891" w:type="dxa"/>
            <w:noWrap/>
            <w:vAlign w:val="center"/>
          </w:tcPr>
          <w:p w14:paraId="5A97E12D">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0FA6599C">
            <w:pPr>
              <w:spacing w:before="156" w:beforeLines="50" w:after="156" w:afterLines="50"/>
              <w:jc w:val="left"/>
              <w:rPr>
                <w:rFonts w:hint="eastAsia" w:ascii="宋体" w:hAnsi="宋体"/>
              </w:rPr>
            </w:pPr>
            <w:r>
              <w:rPr>
                <w:rFonts w:hint="eastAsia" w:ascii="宋体" w:hAnsi="宋体"/>
              </w:rPr>
              <w:t>仓库存储条件，以及仓储管理水平。</w:t>
            </w:r>
          </w:p>
        </w:tc>
        <w:tc>
          <w:tcPr>
            <w:tcW w:w="5684" w:type="dxa"/>
            <w:vAlign w:val="center"/>
          </w:tcPr>
          <w:p w14:paraId="7BC87C7A">
            <w:pPr>
              <w:spacing w:before="156" w:beforeLines="50" w:after="156" w:afterLines="50"/>
              <w:jc w:val="left"/>
              <w:rPr>
                <w:rFonts w:hint="eastAsia" w:ascii="宋体" w:hAnsi="宋体"/>
              </w:rPr>
            </w:pPr>
            <w:r>
              <w:rPr>
                <w:rFonts w:hint="eastAsia" w:ascii="宋体" w:hAnsi="宋体"/>
              </w:rPr>
              <w:t>好，得2分；良好，得1.6分；一般，得1.2分；较差，得0.8分。</w:t>
            </w:r>
          </w:p>
        </w:tc>
      </w:tr>
      <w:tr w14:paraId="15A28D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continue"/>
            <w:vAlign w:val="center"/>
          </w:tcPr>
          <w:p w14:paraId="5020E180">
            <w:pPr>
              <w:spacing w:before="156" w:beforeLines="50" w:after="156" w:afterLines="50"/>
              <w:jc w:val="center"/>
              <w:rPr>
                <w:rFonts w:hint="eastAsia" w:ascii="宋体" w:hAnsi="宋体"/>
              </w:rPr>
            </w:pPr>
          </w:p>
        </w:tc>
        <w:tc>
          <w:tcPr>
            <w:tcW w:w="1544" w:type="dxa"/>
            <w:vMerge w:val="restart"/>
            <w:vAlign w:val="center"/>
          </w:tcPr>
          <w:p w14:paraId="1877CDA9">
            <w:pPr>
              <w:spacing w:before="156" w:beforeLines="50" w:after="156" w:afterLines="50"/>
              <w:jc w:val="center"/>
              <w:rPr>
                <w:rFonts w:hint="eastAsia" w:ascii="宋体" w:hAnsi="宋体"/>
              </w:rPr>
            </w:pPr>
            <w:r>
              <w:rPr>
                <w:rFonts w:hint="eastAsia" w:ascii="宋体" w:hAnsi="宋体"/>
              </w:rPr>
              <w:t>信用管理</w:t>
            </w:r>
            <w:r>
              <w:rPr>
                <w:rFonts w:hint="eastAsia" w:ascii="宋体" w:hAnsi="宋体"/>
              </w:rPr>
              <w:br w:type="textWrapping"/>
            </w:r>
            <w:r>
              <w:rPr>
                <w:rFonts w:hint="eastAsia" w:ascii="宋体" w:hAnsi="宋体"/>
              </w:rPr>
              <w:t>（4分）</w:t>
            </w:r>
          </w:p>
        </w:tc>
        <w:tc>
          <w:tcPr>
            <w:tcW w:w="2103" w:type="dxa"/>
            <w:vAlign w:val="center"/>
          </w:tcPr>
          <w:p w14:paraId="47197DEC">
            <w:pPr>
              <w:spacing w:before="156" w:beforeLines="50" w:after="156" w:afterLines="50"/>
              <w:jc w:val="left"/>
              <w:rPr>
                <w:rFonts w:hint="eastAsia" w:ascii="宋体" w:hAnsi="宋体"/>
              </w:rPr>
            </w:pPr>
            <w:r>
              <w:rPr>
                <w:rFonts w:hint="eastAsia" w:ascii="宋体" w:hAnsi="宋体"/>
              </w:rPr>
              <w:t>客户管理</w:t>
            </w:r>
          </w:p>
        </w:tc>
        <w:tc>
          <w:tcPr>
            <w:tcW w:w="891" w:type="dxa"/>
            <w:noWrap/>
            <w:vAlign w:val="center"/>
          </w:tcPr>
          <w:p w14:paraId="3800A30C">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0B7BD4CF">
            <w:pPr>
              <w:spacing w:before="156" w:beforeLines="50" w:after="156" w:afterLines="50"/>
              <w:jc w:val="left"/>
              <w:rPr>
                <w:rFonts w:hint="eastAsia" w:ascii="宋体" w:hAnsi="宋体"/>
              </w:rPr>
            </w:pPr>
            <w:r>
              <w:rPr>
                <w:rFonts w:hint="eastAsia" w:ascii="宋体" w:hAnsi="宋体"/>
              </w:rPr>
              <w:t>客户资信调查制度、客户风险评价制度、客户分级并逐级授信制度、客户资料管理制度建设等。</w:t>
            </w:r>
          </w:p>
        </w:tc>
        <w:tc>
          <w:tcPr>
            <w:tcW w:w="5684" w:type="dxa"/>
            <w:vAlign w:val="center"/>
          </w:tcPr>
          <w:p w14:paraId="289FCDAF">
            <w:pPr>
              <w:spacing w:before="156" w:beforeLines="50" w:after="156" w:afterLines="50"/>
              <w:jc w:val="left"/>
              <w:rPr>
                <w:rFonts w:hint="eastAsia" w:ascii="宋体" w:hAnsi="宋体"/>
              </w:rPr>
            </w:pPr>
            <w:r>
              <w:rPr>
                <w:rFonts w:hint="eastAsia" w:ascii="宋体" w:hAnsi="宋体"/>
              </w:rPr>
              <w:t>有4项，得2分；少一项，扣减0.5分，最高扣2分。</w:t>
            </w:r>
          </w:p>
        </w:tc>
      </w:tr>
      <w:tr w14:paraId="6DCFC9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96" w:hRule="atLeast"/>
        </w:trPr>
        <w:tc>
          <w:tcPr>
            <w:tcW w:w="1302" w:type="dxa"/>
            <w:vMerge w:val="continue"/>
            <w:vAlign w:val="center"/>
          </w:tcPr>
          <w:p w14:paraId="180E4EE4">
            <w:pPr>
              <w:spacing w:before="156" w:beforeLines="50" w:after="156" w:afterLines="50"/>
              <w:jc w:val="center"/>
              <w:rPr>
                <w:rFonts w:hint="eastAsia" w:ascii="宋体" w:hAnsi="宋体"/>
              </w:rPr>
            </w:pPr>
          </w:p>
        </w:tc>
        <w:tc>
          <w:tcPr>
            <w:tcW w:w="1544" w:type="dxa"/>
            <w:vMerge w:val="continue"/>
            <w:vAlign w:val="center"/>
          </w:tcPr>
          <w:p w14:paraId="77F53101">
            <w:pPr>
              <w:spacing w:before="156" w:beforeLines="50" w:after="156" w:afterLines="50"/>
              <w:jc w:val="center"/>
              <w:rPr>
                <w:rFonts w:hint="eastAsia" w:ascii="宋体" w:hAnsi="宋体"/>
              </w:rPr>
            </w:pPr>
          </w:p>
        </w:tc>
        <w:tc>
          <w:tcPr>
            <w:tcW w:w="2103" w:type="dxa"/>
            <w:vAlign w:val="center"/>
          </w:tcPr>
          <w:p w14:paraId="1465EBB3">
            <w:pPr>
              <w:spacing w:before="156" w:beforeLines="50" w:after="156" w:afterLines="50"/>
              <w:jc w:val="left"/>
              <w:rPr>
                <w:rFonts w:hint="eastAsia" w:ascii="宋体" w:hAnsi="宋体"/>
              </w:rPr>
            </w:pPr>
            <w:r>
              <w:rPr>
                <w:rFonts w:hint="eastAsia" w:ascii="宋体" w:hAnsi="宋体"/>
              </w:rPr>
              <w:t>合同管理</w:t>
            </w:r>
          </w:p>
        </w:tc>
        <w:tc>
          <w:tcPr>
            <w:tcW w:w="891" w:type="dxa"/>
            <w:noWrap/>
            <w:vAlign w:val="center"/>
          </w:tcPr>
          <w:p w14:paraId="25100114">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720627F1">
            <w:pPr>
              <w:spacing w:before="156" w:beforeLines="50" w:after="156" w:afterLines="50"/>
              <w:jc w:val="left"/>
              <w:rPr>
                <w:rFonts w:hint="eastAsia" w:ascii="宋体" w:hAnsi="宋体"/>
              </w:rPr>
            </w:pPr>
            <w:r>
              <w:rPr>
                <w:rFonts w:hint="eastAsia" w:ascii="宋体" w:hAnsi="宋体"/>
              </w:rPr>
              <w:t>合同的审批、签章管理、档案管理、履约控制、失信责任追究制度建设等。</w:t>
            </w:r>
          </w:p>
        </w:tc>
        <w:tc>
          <w:tcPr>
            <w:tcW w:w="5684" w:type="dxa"/>
            <w:vAlign w:val="center"/>
          </w:tcPr>
          <w:p w14:paraId="713733EC">
            <w:pPr>
              <w:spacing w:before="156" w:beforeLines="50" w:after="156" w:afterLines="50"/>
              <w:jc w:val="left"/>
              <w:rPr>
                <w:rFonts w:hint="eastAsia" w:ascii="宋体" w:hAnsi="宋体"/>
              </w:rPr>
            </w:pPr>
            <w:r>
              <w:rPr>
                <w:rFonts w:hint="eastAsia" w:ascii="宋体" w:hAnsi="宋体"/>
              </w:rPr>
              <w:t>有5项，得2分；少一项，扣减0.4分，最高扣2分。</w:t>
            </w:r>
          </w:p>
        </w:tc>
      </w:tr>
      <w:tr w14:paraId="0AF481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96" w:hRule="atLeast"/>
        </w:trPr>
        <w:tc>
          <w:tcPr>
            <w:tcW w:w="1302" w:type="dxa"/>
            <w:vMerge w:val="restart"/>
            <w:vAlign w:val="center"/>
          </w:tcPr>
          <w:p w14:paraId="577E0BC0">
            <w:pPr>
              <w:spacing w:before="156" w:beforeLines="50" w:after="156" w:afterLines="50"/>
              <w:jc w:val="center"/>
              <w:rPr>
                <w:rFonts w:hint="eastAsia" w:ascii="宋体" w:hAnsi="宋体"/>
              </w:rPr>
            </w:pPr>
            <w:r>
              <w:rPr>
                <w:rFonts w:hint="eastAsia" w:ascii="宋体" w:hAnsi="宋体"/>
              </w:rPr>
              <w:t>财务实力</w:t>
            </w:r>
            <w:r>
              <w:rPr>
                <w:rFonts w:hint="eastAsia" w:ascii="宋体" w:hAnsi="宋体"/>
              </w:rPr>
              <w:br w:type="textWrapping"/>
            </w:r>
            <w:r>
              <w:rPr>
                <w:rFonts w:hint="eastAsia" w:ascii="宋体" w:hAnsi="宋体"/>
              </w:rPr>
              <w:t>（25分）</w:t>
            </w:r>
          </w:p>
        </w:tc>
        <w:tc>
          <w:tcPr>
            <w:tcW w:w="1544" w:type="dxa"/>
            <w:vMerge w:val="restart"/>
            <w:vAlign w:val="center"/>
          </w:tcPr>
          <w:p w14:paraId="1995A0D7">
            <w:pPr>
              <w:spacing w:before="156" w:beforeLines="50" w:after="156" w:afterLines="50"/>
              <w:jc w:val="center"/>
              <w:rPr>
                <w:rFonts w:hint="eastAsia" w:ascii="宋体" w:hAnsi="宋体"/>
              </w:rPr>
            </w:pPr>
            <w:r>
              <w:rPr>
                <w:rFonts w:hint="eastAsia" w:ascii="宋体" w:hAnsi="宋体"/>
              </w:rPr>
              <w:t>偿债能力</w:t>
            </w:r>
            <w:r>
              <w:rPr>
                <w:rFonts w:hint="eastAsia" w:ascii="宋体" w:hAnsi="宋体"/>
              </w:rPr>
              <w:br w:type="textWrapping"/>
            </w:r>
            <w:r>
              <w:rPr>
                <w:rFonts w:hint="eastAsia" w:ascii="宋体" w:hAnsi="宋体"/>
              </w:rPr>
              <w:t>（6分）</w:t>
            </w:r>
          </w:p>
        </w:tc>
        <w:tc>
          <w:tcPr>
            <w:tcW w:w="2103" w:type="dxa"/>
            <w:vAlign w:val="center"/>
          </w:tcPr>
          <w:p w14:paraId="1C4814A6">
            <w:pPr>
              <w:spacing w:before="156" w:beforeLines="50" w:after="156" w:afterLines="50"/>
              <w:jc w:val="left"/>
              <w:rPr>
                <w:rFonts w:hint="eastAsia" w:ascii="宋体" w:hAnsi="宋体"/>
              </w:rPr>
            </w:pPr>
            <w:r>
              <w:rPr>
                <w:rFonts w:hint="eastAsia" w:ascii="宋体" w:hAnsi="宋体"/>
              </w:rPr>
              <w:t>速动比率（倍）</w:t>
            </w:r>
          </w:p>
        </w:tc>
        <w:tc>
          <w:tcPr>
            <w:tcW w:w="891" w:type="dxa"/>
            <w:noWrap/>
            <w:vAlign w:val="center"/>
          </w:tcPr>
          <w:p w14:paraId="144CF528">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6765B2A1">
            <w:pPr>
              <w:spacing w:before="156" w:beforeLines="50" w:after="156" w:afterLines="50"/>
              <w:jc w:val="left"/>
              <w:rPr>
                <w:rFonts w:hint="eastAsia" w:ascii="宋体" w:hAnsi="宋体"/>
              </w:rPr>
            </w:pPr>
            <w:r>
              <w:rPr>
                <w:rFonts w:hint="eastAsia" w:ascii="宋体" w:hAnsi="宋体"/>
              </w:rPr>
              <w:t>企业用其资产偿还长、短期债务的能力。</w:t>
            </w:r>
          </w:p>
        </w:tc>
        <w:tc>
          <w:tcPr>
            <w:tcW w:w="5684" w:type="dxa"/>
            <w:vAlign w:val="center"/>
          </w:tcPr>
          <w:p w14:paraId="4382C60C">
            <w:pPr>
              <w:spacing w:before="156" w:beforeLines="50" w:after="156" w:afterLines="50"/>
              <w:jc w:val="left"/>
              <w:rPr>
                <w:rFonts w:hint="eastAsia" w:ascii="宋体" w:hAnsi="宋体"/>
              </w:rPr>
            </w:pPr>
            <w:r>
              <w:rPr>
                <w:rFonts w:hint="eastAsia" w:ascii="宋体" w:hAnsi="宋体"/>
              </w:rPr>
              <w:t>≥1.21，得2分；0.93≤A＜1.21，得1.6分；0.61≤A＜0.93，得1.2分；0.51≤A＜0.61，得0.8分；＜0.51，得0.4分。</w:t>
            </w:r>
          </w:p>
        </w:tc>
      </w:tr>
      <w:tr w14:paraId="3E5AEE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08" w:hRule="atLeast"/>
        </w:trPr>
        <w:tc>
          <w:tcPr>
            <w:tcW w:w="1302" w:type="dxa"/>
            <w:vMerge w:val="continue"/>
            <w:vAlign w:val="center"/>
          </w:tcPr>
          <w:p w14:paraId="612BB9A0">
            <w:pPr>
              <w:spacing w:before="156" w:beforeLines="50" w:after="156" w:afterLines="50"/>
              <w:jc w:val="center"/>
              <w:rPr>
                <w:rFonts w:hint="eastAsia" w:ascii="宋体" w:hAnsi="宋体"/>
              </w:rPr>
            </w:pPr>
          </w:p>
        </w:tc>
        <w:tc>
          <w:tcPr>
            <w:tcW w:w="1544" w:type="dxa"/>
            <w:vMerge w:val="continue"/>
            <w:vAlign w:val="center"/>
          </w:tcPr>
          <w:p w14:paraId="657D0C7C">
            <w:pPr>
              <w:spacing w:before="156" w:beforeLines="50" w:after="156" w:afterLines="50"/>
              <w:jc w:val="center"/>
              <w:rPr>
                <w:rFonts w:hint="eastAsia" w:ascii="宋体" w:hAnsi="宋体"/>
              </w:rPr>
            </w:pPr>
          </w:p>
        </w:tc>
        <w:tc>
          <w:tcPr>
            <w:tcW w:w="2103" w:type="dxa"/>
            <w:vAlign w:val="center"/>
          </w:tcPr>
          <w:p w14:paraId="0954D754">
            <w:pPr>
              <w:spacing w:before="156" w:beforeLines="50" w:after="156" w:afterLines="50"/>
              <w:jc w:val="left"/>
              <w:rPr>
                <w:rFonts w:hint="eastAsia" w:ascii="宋体" w:hAnsi="宋体"/>
              </w:rPr>
            </w:pPr>
            <w:r>
              <w:rPr>
                <w:rFonts w:hint="eastAsia" w:ascii="宋体" w:hAnsi="宋体"/>
              </w:rPr>
              <w:t>资产负债率（%）</w:t>
            </w:r>
          </w:p>
        </w:tc>
        <w:tc>
          <w:tcPr>
            <w:tcW w:w="891" w:type="dxa"/>
            <w:noWrap/>
            <w:vAlign w:val="center"/>
          </w:tcPr>
          <w:p w14:paraId="16D562AC">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133719F5">
            <w:pPr>
              <w:spacing w:before="156" w:beforeLines="50" w:after="156" w:afterLines="50"/>
              <w:jc w:val="left"/>
              <w:rPr>
                <w:rFonts w:hint="eastAsia" w:ascii="宋体" w:hAnsi="宋体"/>
              </w:rPr>
            </w:pPr>
          </w:p>
        </w:tc>
        <w:tc>
          <w:tcPr>
            <w:tcW w:w="5684" w:type="dxa"/>
            <w:vAlign w:val="center"/>
          </w:tcPr>
          <w:p w14:paraId="43EB8BB1">
            <w:pPr>
              <w:spacing w:before="156" w:beforeLines="50" w:after="156" w:afterLines="50"/>
              <w:jc w:val="left"/>
              <w:rPr>
                <w:rFonts w:hint="eastAsia" w:ascii="宋体" w:hAnsi="宋体"/>
              </w:rPr>
            </w:pPr>
            <w:r>
              <w:rPr>
                <w:rFonts w:hint="eastAsia" w:ascii="宋体" w:hAnsi="宋体"/>
              </w:rPr>
              <w:t>≤48%，得2分；48%＜A≤58%，得1.6分；58%＜A≤68%，得1.2分；68%＜A≤83%，得0.8分；＞83%，得0.4分。</w:t>
            </w:r>
          </w:p>
        </w:tc>
      </w:tr>
      <w:tr w14:paraId="129F09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44" w:hRule="atLeast"/>
        </w:trPr>
        <w:tc>
          <w:tcPr>
            <w:tcW w:w="1302" w:type="dxa"/>
            <w:vMerge w:val="continue"/>
            <w:vAlign w:val="center"/>
          </w:tcPr>
          <w:p w14:paraId="4173DFA0">
            <w:pPr>
              <w:spacing w:before="156" w:beforeLines="50" w:after="156" w:afterLines="50"/>
              <w:jc w:val="center"/>
              <w:rPr>
                <w:rFonts w:hint="eastAsia" w:ascii="宋体" w:hAnsi="宋体"/>
              </w:rPr>
            </w:pPr>
          </w:p>
        </w:tc>
        <w:tc>
          <w:tcPr>
            <w:tcW w:w="1544" w:type="dxa"/>
            <w:vMerge w:val="continue"/>
            <w:vAlign w:val="center"/>
          </w:tcPr>
          <w:p w14:paraId="1556E20E">
            <w:pPr>
              <w:spacing w:before="156" w:beforeLines="50" w:after="156" w:afterLines="50"/>
              <w:jc w:val="center"/>
              <w:rPr>
                <w:rFonts w:hint="eastAsia" w:ascii="宋体" w:hAnsi="宋体"/>
              </w:rPr>
            </w:pPr>
          </w:p>
        </w:tc>
        <w:tc>
          <w:tcPr>
            <w:tcW w:w="2103" w:type="dxa"/>
            <w:vAlign w:val="center"/>
          </w:tcPr>
          <w:p w14:paraId="412B0043">
            <w:pPr>
              <w:spacing w:before="156" w:beforeLines="50" w:after="156" w:afterLines="50"/>
              <w:jc w:val="left"/>
              <w:rPr>
                <w:rFonts w:hint="eastAsia" w:ascii="宋体" w:hAnsi="宋体"/>
              </w:rPr>
            </w:pPr>
            <w:r>
              <w:rPr>
                <w:rFonts w:hint="eastAsia" w:ascii="宋体" w:hAnsi="宋体"/>
              </w:rPr>
              <w:t>现金流动负债比率（%）</w:t>
            </w:r>
          </w:p>
        </w:tc>
        <w:tc>
          <w:tcPr>
            <w:tcW w:w="891" w:type="dxa"/>
            <w:noWrap/>
            <w:vAlign w:val="center"/>
          </w:tcPr>
          <w:p w14:paraId="29B5E7A1">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4283C46F">
            <w:pPr>
              <w:spacing w:before="156" w:beforeLines="50" w:after="156" w:afterLines="50"/>
              <w:jc w:val="left"/>
              <w:rPr>
                <w:rFonts w:hint="eastAsia" w:ascii="宋体" w:hAnsi="宋体"/>
              </w:rPr>
            </w:pPr>
          </w:p>
        </w:tc>
        <w:tc>
          <w:tcPr>
            <w:tcW w:w="5684" w:type="dxa"/>
            <w:vAlign w:val="center"/>
          </w:tcPr>
          <w:p w14:paraId="5413B1F6">
            <w:pPr>
              <w:spacing w:before="156" w:beforeLines="50" w:after="156" w:afterLines="50"/>
              <w:jc w:val="left"/>
              <w:rPr>
                <w:rFonts w:hint="eastAsia" w:ascii="宋体" w:hAnsi="宋体"/>
              </w:rPr>
            </w:pPr>
            <w:r>
              <w:rPr>
                <w:rFonts w:hint="eastAsia" w:ascii="宋体" w:hAnsi="宋体"/>
              </w:rPr>
              <w:t>≥10%，得2分；6.8%≤A＜10%，得1.6分；3.7%≤A＜6.8%，得1.2分；-4.0%≤A＜3.7%，得0.8分；＜-4.0%，得0.4分。</w:t>
            </w:r>
          </w:p>
        </w:tc>
      </w:tr>
      <w:tr w14:paraId="085F89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84" w:hRule="atLeast"/>
        </w:trPr>
        <w:tc>
          <w:tcPr>
            <w:tcW w:w="1302" w:type="dxa"/>
            <w:vMerge w:val="continue"/>
            <w:vAlign w:val="center"/>
          </w:tcPr>
          <w:p w14:paraId="7A48CD39">
            <w:pPr>
              <w:spacing w:before="156" w:beforeLines="50" w:after="156" w:afterLines="50"/>
              <w:jc w:val="center"/>
              <w:rPr>
                <w:rFonts w:hint="eastAsia" w:ascii="宋体" w:hAnsi="宋体"/>
              </w:rPr>
            </w:pPr>
          </w:p>
        </w:tc>
        <w:tc>
          <w:tcPr>
            <w:tcW w:w="1544" w:type="dxa"/>
            <w:vMerge w:val="restart"/>
            <w:vAlign w:val="center"/>
          </w:tcPr>
          <w:p w14:paraId="55F60149">
            <w:pPr>
              <w:spacing w:before="156" w:beforeLines="50" w:after="156" w:afterLines="50"/>
              <w:jc w:val="center"/>
              <w:rPr>
                <w:rFonts w:hint="eastAsia" w:ascii="宋体" w:hAnsi="宋体"/>
              </w:rPr>
            </w:pPr>
            <w:r>
              <w:rPr>
                <w:rFonts w:hint="eastAsia" w:ascii="宋体" w:hAnsi="宋体"/>
              </w:rPr>
              <w:t>盈利能力</w:t>
            </w:r>
            <w:r>
              <w:rPr>
                <w:rFonts w:hint="eastAsia" w:ascii="宋体" w:hAnsi="宋体"/>
              </w:rPr>
              <w:br w:type="textWrapping"/>
            </w:r>
            <w:r>
              <w:rPr>
                <w:rFonts w:hint="eastAsia" w:ascii="宋体" w:hAnsi="宋体"/>
              </w:rPr>
              <w:t>（6分）</w:t>
            </w:r>
          </w:p>
        </w:tc>
        <w:tc>
          <w:tcPr>
            <w:tcW w:w="2103" w:type="dxa"/>
            <w:vAlign w:val="center"/>
          </w:tcPr>
          <w:p w14:paraId="599C37D7">
            <w:pPr>
              <w:spacing w:before="156" w:beforeLines="50" w:after="156" w:afterLines="50"/>
              <w:jc w:val="left"/>
              <w:rPr>
                <w:rFonts w:hint="eastAsia" w:ascii="宋体" w:hAnsi="宋体"/>
              </w:rPr>
            </w:pPr>
            <w:r>
              <w:rPr>
                <w:rFonts w:hint="eastAsia" w:ascii="宋体" w:hAnsi="宋体"/>
              </w:rPr>
              <w:t>总资产报酬率（%）</w:t>
            </w:r>
          </w:p>
        </w:tc>
        <w:tc>
          <w:tcPr>
            <w:tcW w:w="891" w:type="dxa"/>
            <w:noWrap/>
            <w:vAlign w:val="center"/>
          </w:tcPr>
          <w:p w14:paraId="591729A4">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68A5600D">
            <w:pPr>
              <w:spacing w:before="156" w:beforeLines="50" w:after="156" w:afterLines="50"/>
              <w:jc w:val="left"/>
              <w:rPr>
                <w:rFonts w:hint="eastAsia" w:ascii="宋体" w:hAnsi="宋体"/>
              </w:rPr>
            </w:pPr>
            <w:r>
              <w:rPr>
                <w:rFonts w:hint="eastAsia" w:ascii="宋体" w:hAnsi="宋体"/>
              </w:rPr>
              <w:t>企业获取利润的能力</w:t>
            </w:r>
            <w:r>
              <w:rPr>
                <w:rFonts w:ascii="Times New Roman"/>
              </w:rPr>
              <w:t>‌</w:t>
            </w:r>
            <w:r>
              <w:rPr>
                <w:rFonts w:hint="eastAsia" w:ascii="宋体" w:hAnsi="宋体" w:cs="宋体"/>
              </w:rPr>
              <w:t>，即资金或资本增值能力。</w:t>
            </w:r>
          </w:p>
        </w:tc>
        <w:tc>
          <w:tcPr>
            <w:tcW w:w="5684" w:type="dxa"/>
            <w:vAlign w:val="center"/>
          </w:tcPr>
          <w:p w14:paraId="2B62CD02">
            <w:pPr>
              <w:spacing w:before="156" w:beforeLines="50" w:after="156" w:afterLines="50"/>
              <w:jc w:val="left"/>
              <w:rPr>
                <w:rFonts w:hint="eastAsia" w:ascii="宋体" w:hAnsi="宋体"/>
              </w:rPr>
            </w:pPr>
            <w:r>
              <w:rPr>
                <w:rFonts w:hint="eastAsia" w:ascii="宋体" w:hAnsi="宋体"/>
              </w:rPr>
              <w:t>≥6.3%，得2分；4.4%≤A＜6.3%，得1.6分；2.9%≤A＜4.4%，得1.2分；-0.5%≤A＜2.9%，得0.8分；＜-0.5%，得0.4分。</w:t>
            </w:r>
          </w:p>
        </w:tc>
      </w:tr>
      <w:tr w14:paraId="1BE379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543D7498">
            <w:pPr>
              <w:spacing w:before="156" w:beforeLines="50" w:after="156" w:afterLines="50"/>
              <w:jc w:val="center"/>
              <w:rPr>
                <w:rFonts w:hint="eastAsia" w:ascii="宋体" w:hAnsi="宋体"/>
              </w:rPr>
            </w:pPr>
          </w:p>
        </w:tc>
        <w:tc>
          <w:tcPr>
            <w:tcW w:w="1544" w:type="dxa"/>
            <w:vMerge w:val="continue"/>
            <w:vAlign w:val="center"/>
          </w:tcPr>
          <w:p w14:paraId="54AEC236">
            <w:pPr>
              <w:spacing w:before="156" w:beforeLines="50" w:after="156" w:afterLines="50"/>
              <w:jc w:val="center"/>
              <w:rPr>
                <w:rFonts w:hint="eastAsia" w:ascii="宋体" w:hAnsi="宋体"/>
              </w:rPr>
            </w:pPr>
          </w:p>
        </w:tc>
        <w:tc>
          <w:tcPr>
            <w:tcW w:w="2103" w:type="dxa"/>
            <w:vAlign w:val="center"/>
          </w:tcPr>
          <w:p w14:paraId="4F5D6709">
            <w:pPr>
              <w:spacing w:before="156" w:beforeLines="50" w:after="156" w:afterLines="50"/>
              <w:jc w:val="left"/>
              <w:rPr>
                <w:rFonts w:hint="eastAsia" w:ascii="宋体" w:hAnsi="宋体"/>
              </w:rPr>
            </w:pPr>
            <w:r>
              <w:rPr>
                <w:rFonts w:hint="eastAsia" w:ascii="宋体" w:hAnsi="宋体"/>
              </w:rPr>
              <w:t>净资产收益率（%）</w:t>
            </w:r>
          </w:p>
        </w:tc>
        <w:tc>
          <w:tcPr>
            <w:tcW w:w="891" w:type="dxa"/>
            <w:noWrap/>
            <w:vAlign w:val="center"/>
          </w:tcPr>
          <w:p w14:paraId="4D46A0CE">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2993E531">
            <w:pPr>
              <w:spacing w:before="156" w:beforeLines="50" w:after="156" w:afterLines="50"/>
              <w:jc w:val="left"/>
              <w:rPr>
                <w:rFonts w:hint="eastAsia" w:ascii="宋体" w:hAnsi="宋体"/>
              </w:rPr>
            </w:pPr>
          </w:p>
        </w:tc>
        <w:tc>
          <w:tcPr>
            <w:tcW w:w="5684" w:type="dxa"/>
            <w:vAlign w:val="center"/>
          </w:tcPr>
          <w:p w14:paraId="29CC40EC">
            <w:pPr>
              <w:spacing w:before="156" w:beforeLines="50" w:after="156" w:afterLines="50"/>
              <w:jc w:val="left"/>
              <w:rPr>
                <w:rFonts w:hint="eastAsia" w:ascii="宋体" w:hAnsi="宋体"/>
              </w:rPr>
            </w:pPr>
            <w:r>
              <w:rPr>
                <w:rFonts w:hint="eastAsia" w:ascii="宋体" w:hAnsi="宋体"/>
              </w:rPr>
              <w:t>≥14%，得2分；8.3%≤A＜14%，得1.6分；5.1%≤A＜8.3%，得1.2分；-0.6%≤A＜5.1%，得0.8分；＜-0.6%，得0.4分。</w:t>
            </w:r>
          </w:p>
        </w:tc>
      </w:tr>
      <w:tr w14:paraId="730A8F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28" w:hRule="atLeast"/>
        </w:trPr>
        <w:tc>
          <w:tcPr>
            <w:tcW w:w="1302" w:type="dxa"/>
            <w:vMerge w:val="continue"/>
            <w:vAlign w:val="center"/>
          </w:tcPr>
          <w:p w14:paraId="00B6F0D8">
            <w:pPr>
              <w:spacing w:before="156" w:beforeLines="50" w:after="156" w:afterLines="50"/>
              <w:jc w:val="center"/>
              <w:rPr>
                <w:rFonts w:hint="eastAsia" w:ascii="宋体" w:hAnsi="宋体"/>
              </w:rPr>
            </w:pPr>
          </w:p>
        </w:tc>
        <w:tc>
          <w:tcPr>
            <w:tcW w:w="1544" w:type="dxa"/>
            <w:vMerge w:val="continue"/>
            <w:vAlign w:val="center"/>
          </w:tcPr>
          <w:p w14:paraId="05424D90">
            <w:pPr>
              <w:spacing w:before="156" w:beforeLines="50" w:after="156" w:afterLines="50"/>
              <w:jc w:val="center"/>
              <w:rPr>
                <w:rFonts w:hint="eastAsia" w:ascii="宋体" w:hAnsi="宋体"/>
              </w:rPr>
            </w:pPr>
          </w:p>
        </w:tc>
        <w:tc>
          <w:tcPr>
            <w:tcW w:w="2103" w:type="dxa"/>
            <w:vAlign w:val="center"/>
          </w:tcPr>
          <w:p w14:paraId="5BA63E8A">
            <w:pPr>
              <w:spacing w:before="156" w:beforeLines="50" w:after="156" w:afterLines="50"/>
              <w:jc w:val="left"/>
              <w:rPr>
                <w:rFonts w:hint="eastAsia" w:ascii="宋体" w:hAnsi="宋体"/>
              </w:rPr>
            </w:pPr>
            <w:r>
              <w:rPr>
                <w:rFonts w:hint="eastAsia" w:ascii="宋体" w:hAnsi="宋体"/>
              </w:rPr>
              <w:t>净利率（%）</w:t>
            </w:r>
          </w:p>
        </w:tc>
        <w:tc>
          <w:tcPr>
            <w:tcW w:w="891" w:type="dxa"/>
            <w:noWrap/>
            <w:vAlign w:val="center"/>
          </w:tcPr>
          <w:p w14:paraId="13BA266F">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676132EF">
            <w:pPr>
              <w:spacing w:before="156" w:beforeLines="50" w:after="156" w:afterLines="50"/>
              <w:jc w:val="left"/>
              <w:rPr>
                <w:rFonts w:hint="eastAsia" w:ascii="宋体" w:hAnsi="宋体"/>
              </w:rPr>
            </w:pPr>
          </w:p>
        </w:tc>
        <w:tc>
          <w:tcPr>
            <w:tcW w:w="5684" w:type="dxa"/>
            <w:vAlign w:val="center"/>
          </w:tcPr>
          <w:p w14:paraId="16EBE706">
            <w:pPr>
              <w:spacing w:before="156" w:beforeLines="50" w:after="156" w:afterLines="50"/>
              <w:jc w:val="left"/>
              <w:rPr>
                <w:rFonts w:hint="eastAsia" w:ascii="宋体" w:hAnsi="宋体"/>
              </w:rPr>
            </w:pPr>
            <w:r>
              <w:rPr>
                <w:rFonts w:hint="eastAsia" w:ascii="宋体" w:hAnsi="宋体"/>
              </w:rPr>
              <w:t>≥11.9%，得2分；9.2%≤A＜11.9%，得1.6分；7.1%≤A＜11.9%，得1.2分；-0.6%≤A＜7.1%，得0.8分；＜-0.6%，得0.4分。</w:t>
            </w:r>
          </w:p>
        </w:tc>
      </w:tr>
      <w:tr w14:paraId="32CCF7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77395F8F">
            <w:pPr>
              <w:spacing w:before="156" w:beforeLines="50" w:after="156" w:afterLines="50"/>
              <w:jc w:val="center"/>
              <w:rPr>
                <w:rFonts w:hint="eastAsia" w:ascii="宋体" w:hAnsi="宋体"/>
              </w:rPr>
            </w:pPr>
          </w:p>
        </w:tc>
        <w:tc>
          <w:tcPr>
            <w:tcW w:w="1544" w:type="dxa"/>
            <w:vMerge w:val="restart"/>
            <w:vAlign w:val="center"/>
          </w:tcPr>
          <w:p w14:paraId="6F13F4BF">
            <w:pPr>
              <w:spacing w:before="156" w:beforeLines="50" w:after="156" w:afterLines="50"/>
              <w:jc w:val="center"/>
              <w:rPr>
                <w:rFonts w:hint="eastAsia" w:ascii="宋体" w:hAnsi="宋体"/>
              </w:rPr>
            </w:pPr>
            <w:r>
              <w:rPr>
                <w:rFonts w:hint="eastAsia" w:ascii="宋体" w:hAnsi="宋体"/>
              </w:rPr>
              <w:t>营运能力</w:t>
            </w:r>
            <w:r>
              <w:rPr>
                <w:rFonts w:hint="eastAsia" w:ascii="宋体" w:hAnsi="宋体"/>
              </w:rPr>
              <w:br w:type="textWrapping"/>
            </w:r>
            <w:r>
              <w:rPr>
                <w:rFonts w:hint="eastAsia" w:ascii="宋体" w:hAnsi="宋体"/>
              </w:rPr>
              <w:t>（6分）</w:t>
            </w:r>
          </w:p>
        </w:tc>
        <w:tc>
          <w:tcPr>
            <w:tcW w:w="2103" w:type="dxa"/>
            <w:vAlign w:val="center"/>
          </w:tcPr>
          <w:p w14:paraId="6BA130B4">
            <w:pPr>
              <w:spacing w:before="156" w:beforeLines="50" w:after="156" w:afterLines="50"/>
              <w:jc w:val="left"/>
              <w:rPr>
                <w:rFonts w:hint="eastAsia" w:ascii="宋体" w:hAnsi="宋体"/>
              </w:rPr>
            </w:pPr>
            <w:r>
              <w:rPr>
                <w:rFonts w:hint="eastAsia" w:ascii="宋体" w:hAnsi="宋体"/>
              </w:rPr>
              <w:t>总资产周转率（次）</w:t>
            </w:r>
          </w:p>
        </w:tc>
        <w:tc>
          <w:tcPr>
            <w:tcW w:w="891" w:type="dxa"/>
            <w:noWrap/>
            <w:vAlign w:val="center"/>
          </w:tcPr>
          <w:p w14:paraId="21D66A32">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39B4BCEE">
            <w:pPr>
              <w:spacing w:before="156" w:beforeLines="50" w:after="156" w:afterLines="50"/>
              <w:jc w:val="left"/>
              <w:rPr>
                <w:rFonts w:hint="eastAsia" w:ascii="宋体" w:hAnsi="宋体"/>
              </w:rPr>
            </w:pPr>
            <w:r>
              <w:rPr>
                <w:rFonts w:hint="eastAsia" w:ascii="宋体" w:hAnsi="宋体"/>
              </w:rPr>
              <w:t>企业运用各项资产以赚取利润的能力。</w:t>
            </w:r>
          </w:p>
        </w:tc>
        <w:tc>
          <w:tcPr>
            <w:tcW w:w="5684" w:type="dxa"/>
            <w:vAlign w:val="center"/>
          </w:tcPr>
          <w:p w14:paraId="65C0DC36">
            <w:pPr>
              <w:spacing w:before="156" w:beforeLines="50" w:after="156" w:afterLines="50"/>
              <w:jc w:val="left"/>
              <w:rPr>
                <w:rFonts w:hint="eastAsia" w:ascii="宋体" w:hAnsi="宋体"/>
              </w:rPr>
            </w:pPr>
            <w:r>
              <w:rPr>
                <w:rFonts w:hint="eastAsia" w:ascii="宋体" w:hAnsi="宋体"/>
              </w:rPr>
              <w:t>≥0.9，得2分；0.7≤A＜0.9，得1.6分；0.4≤A＜0.7，得1.2分；0.2≤A＜0.4，得0.8分；＜0.2，得0.4分。</w:t>
            </w:r>
          </w:p>
        </w:tc>
      </w:tr>
      <w:tr w14:paraId="02274E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7C2FB6F1">
            <w:pPr>
              <w:spacing w:before="156" w:beforeLines="50" w:after="156" w:afterLines="50"/>
              <w:jc w:val="center"/>
              <w:rPr>
                <w:rFonts w:hint="eastAsia" w:ascii="宋体" w:hAnsi="宋体"/>
              </w:rPr>
            </w:pPr>
          </w:p>
        </w:tc>
        <w:tc>
          <w:tcPr>
            <w:tcW w:w="1544" w:type="dxa"/>
            <w:vMerge w:val="continue"/>
            <w:vAlign w:val="center"/>
          </w:tcPr>
          <w:p w14:paraId="4D8A4558">
            <w:pPr>
              <w:spacing w:before="156" w:beforeLines="50" w:after="156" w:afterLines="50"/>
              <w:jc w:val="center"/>
              <w:rPr>
                <w:rFonts w:hint="eastAsia" w:ascii="宋体" w:hAnsi="宋体"/>
              </w:rPr>
            </w:pPr>
          </w:p>
        </w:tc>
        <w:tc>
          <w:tcPr>
            <w:tcW w:w="2103" w:type="dxa"/>
            <w:vAlign w:val="center"/>
          </w:tcPr>
          <w:p w14:paraId="4C931C4E">
            <w:pPr>
              <w:spacing w:before="156" w:beforeLines="50" w:after="156" w:afterLines="50"/>
              <w:jc w:val="left"/>
              <w:rPr>
                <w:rFonts w:hint="eastAsia" w:ascii="宋体" w:hAnsi="宋体"/>
              </w:rPr>
            </w:pPr>
            <w:r>
              <w:rPr>
                <w:rFonts w:hint="eastAsia" w:ascii="宋体" w:hAnsi="宋体"/>
              </w:rPr>
              <w:t>应收账款周转率（次）</w:t>
            </w:r>
          </w:p>
        </w:tc>
        <w:tc>
          <w:tcPr>
            <w:tcW w:w="891" w:type="dxa"/>
            <w:noWrap/>
            <w:vAlign w:val="center"/>
          </w:tcPr>
          <w:p w14:paraId="42B1C649">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3910B237">
            <w:pPr>
              <w:spacing w:before="156" w:beforeLines="50" w:after="156" w:afterLines="50"/>
              <w:jc w:val="left"/>
              <w:rPr>
                <w:rFonts w:hint="eastAsia" w:ascii="宋体" w:hAnsi="宋体"/>
              </w:rPr>
            </w:pPr>
          </w:p>
        </w:tc>
        <w:tc>
          <w:tcPr>
            <w:tcW w:w="5684" w:type="dxa"/>
            <w:vAlign w:val="center"/>
          </w:tcPr>
          <w:p w14:paraId="5091BDB3">
            <w:pPr>
              <w:spacing w:before="156" w:beforeLines="50" w:after="156" w:afterLines="50"/>
              <w:jc w:val="left"/>
              <w:rPr>
                <w:rFonts w:hint="eastAsia" w:ascii="宋体" w:hAnsi="宋体"/>
              </w:rPr>
            </w:pPr>
            <w:r>
              <w:rPr>
                <w:rFonts w:hint="eastAsia" w:ascii="宋体" w:hAnsi="宋体"/>
              </w:rPr>
              <w:t>≥7.6，得2分；4.3≤A＜7.6，得1.6分；2≤A＜4.3，得1.2分；1.4≤A＜2，得0.8分；＜1.4，得0.4分。</w:t>
            </w:r>
          </w:p>
        </w:tc>
      </w:tr>
      <w:tr w14:paraId="78BAAB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38EB04C5">
            <w:pPr>
              <w:spacing w:before="156" w:beforeLines="50" w:after="156" w:afterLines="50"/>
              <w:jc w:val="center"/>
              <w:rPr>
                <w:rFonts w:hint="eastAsia" w:ascii="宋体" w:hAnsi="宋体"/>
              </w:rPr>
            </w:pPr>
          </w:p>
        </w:tc>
        <w:tc>
          <w:tcPr>
            <w:tcW w:w="1544" w:type="dxa"/>
            <w:vMerge w:val="continue"/>
            <w:vAlign w:val="center"/>
          </w:tcPr>
          <w:p w14:paraId="2B22D98E">
            <w:pPr>
              <w:spacing w:before="156" w:beforeLines="50" w:after="156" w:afterLines="50"/>
              <w:jc w:val="center"/>
              <w:rPr>
                <w:rFonts w:hint="eastAsia" w:ascii="宋体" w:hAnsi="宋体"/>
              </w:rPr>
            </w:pPr>
          </w:p>
        </w:tc>
        <w:tc>
          <w:tcPr>
            <w:tcW w:w="2103" w:type="dxa"/>
            <w:vAlign w:val="center"/>
          </w:tcPr>
          <w:p w14:paraId="7300DAD9">
            <w:pPr>
              <w:spacing w:before="156" w:beforeLines="50" w:after="156" w:afterLines="50"/>
              <w:jc w:val="left"/>
              <w:rPr>
                <w:rFonts w:hint="eastAsia" w:ascii="宋体" w:hAnsi="宋体"/>
              </w:rPr>
            </w:pPr>
            <w:r>
              <w:rPr>
                <w:rFonts w:hint="eastAsia" w:ascii="宋体" w:hAnsi="宋体"/>
              </w:rPr>
              <w:t>存货周转率（次）</w:t>
            </w:r>
          </w:p>
        </w:tc>
        <w:tc>
          <w:tcPr>
            <w:tcW w:w="891" w:type="dxa"/>
            <w:noWrap/>
            <w:vAlign w:val="center"/>
          </w:tcPr>
          <w:p w14:paraId="02D8B4DE">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4E9F49D7">
            <w:pPr>
              <w:spacing w:before="156" w:beforeLines="50" w:after="156" w:afterLines="50"/>
              <w:jc w:val="left"/>
              <w:rPr>
                <w:rFonts w:hint="eastAsia" w:ascii="宋体" w:hAnsi="宋体"/>
              </w:rPr>
            </w:pPr>
          </w:p>
        </w:tc>
        <w:tc>
          <w:tcPr>
            <w:tcW w:w="5684" w:type="dxa"/>
            <w:vAlign w:val="center"/>
          </w:tcPr>
          <w:p w14:paraId="4FE0A8DB">
            <w:pPr>
              <w:spacing w:before="156" w:beforeLines="50" w:after="156" w:afterLines="50"/>
              <w:jc w:val="left"/>
              <w:rPr>
                <w:rFonts w:hint="eastAsia" w:ascii="宋体" w:hAnsi="宋体"/>
              </w:rPr>
            </w:pPr>
            <w:r>
              <w:rPr>
                <w:rFonts w:hint="eastAsia" w:ascii="宋体" w:hAnsi="宋体"/>
              </w:rPr>
              <w:t>≥4.5，得2分；3.5≤A＜4.5，得1.6分；2.5≤A＜3.5，得1.2分；1≤A＜2.5，得0.8分；＜1，得0.4分。</w:t>
            </w:r>
          </w:p>
        </w:tc>
      </w:tr>
      <w:tr w14:paraId="034DAF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40" w:hRule="atLeast"/>
        </w:trPr>
        <w:tc>
          <w:tcPr>
            <w:tcW w:w="1302" w:type="dxa"/>
            <w:vMerge w:val="continue"/>
            <w:vAlign w:val="center"/>
          </w:tcPr>
          <w:p w14:paraId="2C590F0C">
            <w:pPr>
              <w:spacing w:before="156" w:beforeLines="50" w:after="156" w:afterLines="50"/>
              <w:jc w:val="center"/>
              <w:rPr>
                <w:rFonts w:hint="eastAsia" w:ascii="宋体" w:hAnsi="宋体"/>
              </w:rPr>
            </w:pPr>
          </w:p>
        </w:tc>
        <w:tc>
          <w:tcPr>
            <w:tcW w:w="1544" w:type="dxa"/>
            <w:vMerge w:val="restart"/>
            <w:vAlign w:val="center"/>
          </w:tcPr>
          <w:p w14:paraId="6FA31B4B">
            <w:pPr>
              <w:spacing w:before="156" w:beforeLines="50" w:after="156" w:afterLines="50"/>
              <w:jc w:val="center"/>
              <w:rPr>
                <w:rFonts w:hint="eastAsia" w:ascii="宋体" w:hAnsi="宋体"/>
              </w:rPr>
            </w:pPr>
            <w:r>
              <w:rPr>
                <w:rFonts w:hint="eastAsia" w:ascii="宋体" w:hAnsi="宋体"/>
              </w:rPr>
              <w:t>成长能力</w:t>
            </w:r>
            <w:r>
              <w:rPr>
                <w:rFonts w:hint="eastAsia" w:ascii="宋体" w:hAnsi="宋体"/>
              </w:rPr>
              <w:br w:type="textWrapping"/>
            </w:r>
            <w:r>
              <w:rPr>
                <w:rFonts w:hint="eastAsia" w:ascii="宋体" w:hAnsi="宋体"/>
              </w:rPr>
              <w:t>（6分）</w:t>
            </w:r>
          </w:p>
        </w:tc>
        <w:tc>
          <w:tcPr>
            <w:tcW w:w="2103" w:type="dxa"/>
            <w:vAlign w:val="center"/>
          </w:tcPr>
          <w:p w14:paraId="5F5B0794">
            <w:pPr>
              <w:spacing w:before="156" w:beforeLines="50" w:after="156" w:afterLines="50"/>
              <w:jc w:val="left"/>
              <w:rPr>
                <w:rFonts w:hint="eastAsia" w:ascii="宋体" w:hAnsi="宋体"/>
              </w:rPr>
            </w:pPr>
            <w:r>
              <w:rPr>
                <w:rFonts w:hint="eastAsia" w:ascii="宋体" w:hAnsi="宋体"/>
              </w:rPr>
              <w:t>营业收入增长率（%）</w:t>
            </w:r>
          </w:p>
        </w:tc>
        <w:tc>
          <w:tcPr>
            <w:tcW w:w="891" w:type="dxa"/>
            <w:noWrap/>
            <w:vAlign w:val="center"/>
          </w:tcPr>
          <w:p w14:paraId="423E9201">
            <w:pPr>
              <w:spacing w:before="156" w:beforeLines="50" w:after="156" w:afterLines="50"/>
              <w:jc w:val="center"/>
              <w:rPr>
                <w:rFonts w:hint="eastAsia" w:ascii="宋体" w:hAnsi="宋体"/>
              </w:rPr>
            </w:pPr>
            <w:r>
              <w:rPr>
                <w:rFonts w:hint="eastAsia" w:ascii="宋体" w:hAnsi="宋体"/>
              </w:rPr>
              <w:t>2分</w:t>
            </w:r>
          </w:p>
        </w:tc>
        <w:tc>
          <w:tcPr>
            <w:tcW w:w="3017" w:type="dxa"/>
            <w:vMerge w:val="restart"/>
            <w:vAlign w:val="center"/>
          </w:tcPr>
          <w:p w14:paraId="75741703">
            <w:pPr>
              <w:spacing w:before="156" w:beforeLines="50" w:after="156" w:afterLines="50"/>
              <w:jc w:val="left"/>
              <w:rPr>
                <w:rFonts w:hint="eastAsia" w:ascii="宋体" w:hAnsi="宋体"/>
              </w:rPr>
            </w:pPr>
            <w:r>
              <w:rPr>
                <w:rFonts w:hint="eastAsia" w:ascii="宋体" w:hAnsi="宋体"/>
              </w:rPr>
              <w:t>企业发展壮大的潜在能力。</w:t>
            </w:r>
          </w:p>
        </w:tc>
        <w:tc>
          <w:tcPr>
            <w:tcW w:w="5684" w:type="dxa"/>
            <w:vAlign w:val="center"/>
          </w:tcPr>
          <w:p w14:paraId="01A3C874">
            <w:pPr>
              <w:spacing w:before="156" w:beforeLines="50" w:after="156" w:afterLines="50"/>
              <w:jc w:val="left"/>
              <w:rPr>
                <w:rFonts w:hint="eastAsia" w:ascii="宋体" w:hAnsi="宋体"/>
              </w:rPr>
            </w:pPr>
            <w:r>
              <w:rPr>
                <w:rFonts w:hint="eastAsia" w:ascii="宋体" w:hAnsi="宋体"/>
              </w:rPr>
              <w:t>≥25.5%，得2分；10.1%≤A＜25.5%，得1.6分；5%≤A＜10.1%，得1.2分；-13.8%≤A＜5%，得0.8分；＜-13.8%，得0.4分。</w:t>
            </w:r>
          </w:p>
        </w:tc>
      </w:tr>
      <w:tr w14:paraId="51B2CC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20" w:hRule="atLeast"/>
        </w:trPr>
        <w:tc>
          <w:tcPr>
            <w:tcW w:w="1302" w:type="dxa"/>
            <w:vMerge w:val="continue"/>
            <w:vAlign w:val="center"/>
          </w:tcPr>
          <w:p w14:paraId="56428129">
            <w:pPr>
              <w:spacing w:before="156" w:beforeLines="50" w:after="156" w:afterLines="50"/>
              <w:jc w:val="center"/>
              <w:rPr>
                <w:rFonts w:hint="eastAsia" w:ascii="宋体" w:hAnsi="宋体"/>
              </w:rPr>
            </w:pPr>
          </w:p>
        </w:tc>
        <w:tc>
          <w:tcPr>
            <w:tcW w:w="1544" w:type="dxa"/>
            <w:vMerge w:val="continue"/>
            <w:vAlign w:val="center"/>
          </w:tcPr>
          <w:p w14:paraId="5061E0A3">
            <w:pPr>
              <w:spacing w:before="156" w:beforeLines="50" w:after="156" w:afterLines="50"/>
              <w:jc w:val="center"/>
              <w:rPr>
                <w:rFonts w:hint="eastAsia" w:ascii="宋体" w:hAnsi="宋体"/>
              </w:rPr>
            </w:pPr>
          </w:p>
        </w:tc>
        <w:tc>
          <w:tcPr>
            <w:tcW w:w="2103" w:type="dxa"/>
            <w:vAlign w:val="center"/>
          </w:tcPr>
          <w:p w14:paraId="55F3BD88">
            <w:pPr>
              <w:spacing w:before="156" w:beforeLines="50" w:after="156" w:afterLines="50"/>
              <w:jc w:val="left"/>
              <w:rPr>
                <w:rFonts w:hint="eastAsia" w:ascii="宋体" w:hAnsi="宋体"/>
              </w:rPr>
            </w:pPr>
            <w:r>
              <w:rPr>
                <w:rFonts w:hint="eastAsia" w:ascii="宋体" w:hAnsi="宋体"/>
              </w:rPr>
              <w:t>净利润增长率（%）</w:t>
            </w:r>
          </w:p>
        </w:tc>
        <w:tc>
          <w:tcPr>
            <w:tcW w:w="891" w:type="dxa"/>
            <w:noWrap/>
            <w:vAlign w:val="center"/>
          </w:tcPr>
          <w:p w14:paraId="02BAEEF7">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586E2410">
            <w:pPr>
              <w:spacing w:before="156" w:beforeLines="50" w:after="156" w:afterLines="50"/>
              <w:jc w:val="left"/>
              <w:rPr>
                <w:rFonts w:hint="eastAsia" w:ascii="宋体" w:hAnsi="宋体"/>
              </w:rPr>
            </w:pPr>
          </w:p>
        </w:tc>
        <w:tc>
          <w:tcPr>
            <w:tcW w:w="5684" w:type="dxa"/>
            <w:vAlign w:val="center"/>
          </w:tcPr>
          <w:p w14:paraId="146A6BB5">
            <w:pPr>
              <w:spacing w:before="156" w:beforeLines="50" w:after="156" w:afterLines="50"/>
              <w:jc w:val="left"/>
              <w:rPr>
                <w:rFonts w:hint="eastAsia" w:ascii="宋体" w:hAnsi="宋体"/>
              </w:rPr>
            </w:pPr>
            <w:r>
              <w:rPr>
                <w:rFonts w:hint="eastAsia" w:ascii="宋体" w:hAnsi="宋体"/>
              </w:rPr>
              <w:t>≥15.5%，得2分；10%≤A＜15.5%，得1.6分；5%≤A＜10%，得1.2分；-18.5%≤A＜10%，得0.8分；＜-18.5%，得0.4分。</w:t>
            </w:r>
          </w:p>
        </w:tc>
      </w:tr>
      <w:tr w14:paraId="5D221D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5368C532">
            <w:pPr>
              <w:spacing w:before="156" w:beforeLines="50" w:after="156" w:afterLines="50"/>
              <w:jc w:val="center"/>
              <w:rPr>
                <w:rFonts w:hint="eastAsia" w:ascii="宋体" w:hAnsi="宋体"/>
              </w:rPr>
            </w:pPr>
          </w:p>
        </w:tc>
        <w:tc>
          <w:tcPr>
            <w:tcW w:w="1544" w:type="dxa"/>
            <w:vMerge w:val="continue"/>
            <w:vAlign w:val="center"/>
          </w:tcPr>
          <w:p w14:paraId="7561E361">
            <w:pPr>
              <w:spacing w:before="156" w:beforeLines="50" w:after="156" w:afterLines="50"/>
              <w:jc w:val="center"/>
              <w:rPr>
                <w:rFonts w:hint="eastAsia" w:ascii="宋体" w:hAnsi="宋体"/>
              </w:rPr>
            </w:pPr>
          </w:p>
        </w:tc>
        <w:tc>
          <w:tcPr>
            <w:tcW w:w="2103" w:type="dxa"/>
            <w:vAlign w:val="center"/>
          </w:tcPr>
          <w:p w14:paraId="475D06BC">
            <w:pPr>
              <w:spacing w:before="156" w:beforeLines="50" w:after="156" w:afterLines="50"/>
              <w:jc w:val="left"/>
              <w:rPr>
                <w:rFonts w:hint="eastAsia" w:ascii="宋体" w:hAnsi="宋体"/>
              </w:rPr>
            </w:pPr>
            <w:r>
              <w:rPr>
                <w:rFonts w:hint="eastAsia" w:ascii="宋体" w:hAnsi="宋体"/>
              </w:rPr>
              <w:t>总资产增长率（%）</w:t>
            </w:r>
          </w:p>
        </w:tc>
        <w:tc>
          <w:tcPr>
            <w:tcW w:w="891" w:type="dxa"/>
            <w:noWrap/>
            <w:vAlign w:val="center"/>
          </w:tcPr>
          <w:p w14:paraId="56D835EF">
            <w:pPr>
              <w:spacing w:before="156" w:beforeLines="50" w:after="156" w:afterLines="50"/>
              <w:jc w:val="center"/>
              <w:rPr>
                <w:rFonts w:hint="eastAsia" w:ascii="宋体" w:hAnsi="宋体"/>
              </w:rPr>
            </w:pPr>
            <w:r>
              <w:rPr>
                <w:rFonts w:hint="eastAsia" w:ascii="宋体" w:hAnsi="宋体"/>
              </w:rPr>
              <w:t>2分</w:t>
            </w:r>
          </w:p>
        </w:tc>
        <w:tc>
          <w:tcPr>
            <w:tcW w:w="3017" w:type="dxa"/>
            <w:vMerge w:val="continue"/>
            <w:vAlign w:val="center"/>
          </w:tcPr>
          <w:p w14:paraId="3F99F149">
            <w:pPr>
              <w:spacing w:before="156" w:beforeLines="50" w:after="156" w:afterLines="50"/>
              <w:jc w:val="left"/>
              <w:rPr>
                <w:rFonts w:hint="eastAsia" w:ascii="宋体" w:hAnsi="宋体"/>
              </w:rPr>
            </w:pPr>
          </w:p>
        </w:tc>
        <w:tc>
          <w:tcPr>
            <w:tcW w:w="5684" w:type="dxa"/>
            <w:vAlign w:val="center"/>
          </w:tcPr>
          <w:p w14:paraId="0FCA40BC">
            <w:pPr>
              <w:spacing w:before="156" w:beforeLines="50" w:after="156" w:afterLines="50"/>
              <w:jc w:val="left"/>
              <w:rPr>
                <w:rFonts w:hint="eastAsia" w:ascii="宋体" w:hAnsi="宋体"/>
              </w:rPr>
            </w:pPr>
            <w:r>
              <w:rPr>
                <w:rFonts w:hint="eastAsia" w:ascii="宋体" w:hAnsi="宋体"/>
              </w:rPr>
              <w:t>≥14.9%，得2分；5.9%≤A＜14.9%，得1.6分；0%≤A＜5.9%，得1.2分；-1.4%≤A＜0%，得0.8分；＜-1.4%，得0.4分。</w:t>
            </w:r>
          </w:p>
        </w:tc>
      </w:tr>
      <w:tr w14:paraId="5E8520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52" w:hRule="atLeast"/>
        </w:trPr>
        <w:tc>
          <w:tcPr>
            <w:tcW w:w="1302" w:type="dxa"/>
            <w:vMerge w:val="continue"/>
            <w:vAlign w:val="center"/>
          </w:tcPr>
          <w:p w14:paraId="00C52522">
            <w:pPr>
              <w:spacing w:before="156" w:beforeLines="50" w:after="156" w:afterLines="50"/>
              <w:jc w:val="center"/>
              <w:rPr>
                <w:rFonts w:hint="eastAsia" w:ascii="宋体" w:hAnsi="宋体"/>
              </w:rPr>
            </w:pPr>
          </w:p>
        </w:tc>
        <w:tc>
          <w:tcPr>
            <w:tcW w:w="1544" w:type="dxa"/>
            <w:vAlign w:val="center"/>
          </w:tcPr>
          <w:p w14:paraId="262E332A">
            <w:pPr>
              <w:spacing w:before="156" w:beforeLines="50" w:after="156" w:afterLines="50"/>
              <w:jc w:val="center"/>
              <w:rPr>
                <w:rFonts w:hint="eastAsia" w:ascii="宋体" w:hAnsi="宋体"/>
              </w:rPr>
            </w:pPr>
            <w:r>
              <w:rPr>
                <w:rFonts w:hint="eastAsia" w:ascii="宋体" w:hAnsi="宋体"/>
              </w:rPr>
              <w:t>报表质量</w:t>
            </w:r>
            <w:r>
              <w:rPr>
                <w:rFonts w:hint="eastAsia" w:ascii="宋体" w:hAnsi="宋体"/>
              </w:rPr>
              <w:br w:type="textWrapping"/>
            </w:r>
            <w:r>
              <w:rPr>
                <w:rFonts w:hint="eastAsia" w:ascii="宋体" w:hAnsi="宋体"/>
              </w:rPr>
              <w:t>（1分）</w:t>
            </w:r>
          </w:p>
        </w:tc>
        <w:tc>
          <w:tcPr>
            <w:tcW w:w="2103" w:type="dxa"/>
            <w:vAlign w:val="center"/>
          </w:tcPr>
          <w:p w14:paraId="556D935F">
            <w:pPr>
              <w:spacing w:before="156" w:beforeLines="50" w:after="156" w:afterLines="50"/>
              <w:jc w:val="left"/>
              <w:rPr>
                <w:rFonts w:hint="eastAsia" w:ascii="宋体" w:hAnsi="宋体"/>
              </w:rPr>
            </w:pPr>
            <w:r>
              <w:rPr>
                <w:rFonts w:hint="eastAsia" w:ascii="宋体" w:hAnsi="宋体"/>
              </w:rPr>
              <w:t>审计报告</w:t>
            </w:r>
          </w:p>
        </w:tc>
        <w:tc>
          <w:tcPr>
            <w:tcW w:w="891" w:type="dxa"/>
            <w:noWrap/>
            <w:vAlign w:val="center"/>
          </w:tcPr>
          <w:p w14:paraId="67BB82EE">
            <w:pPr>
              <w:spacing w:before="156" w:beforeLines="50" w:after="156" w:afterLines="50"/>
              <w:jc w:val="center"/>
              <w:rPr>
                <w:rFonts w:hint="eastAsia" w:ascii="宋体" w:hAnsi="宋体"/>
              </w:rPr>
            </w:pPr>
            <w:r>
              <w:rPr>
                <w:rFonts w:hint="eastAsia" w:ascii="宋体" w:hAnsi="宋体"/>
              </w:rPr>
              <w:t>1分</w:t>
            </w:r>
          </w:p>
        </w:tc>
        <w:tc>
          <w:tcPr>
            <w:tcW w:w="3017" w:type="dxa"/>
            <w:vAlign w:val="center"/>
          </w:tcPr>
          <w:p w14:paraId="1F9ADDB2">
            <w:pPr>
              <w:spacing w:before="156" w:beforeLines="50" w:after="156" w:afterLines="50"/>
              <w:jc w:val="left"/>
              <w:rPr>
                <w:rFonts w:hint="eastAsia" w:ascii="宋体" w:hAnsi="宋体"/>
              </w:rPr>
            </w:pPr>
            <w:r>
              <w:rPr>
                <w:rFonts w:hint="eastAsia" w:ascii="宋体" w:hAnsi="宋体"/>
              </w:rPr>
              <w:t>会计师事务所出具的审计报告的意见。</w:t>
            </w:r>
          </w:p>
        </w:tc>
        <w:tc>
          <w:tcPr>
            <w:tcW w:w="5684" w:type="dxa"/>
            <w:vAlign w:val="center"/>
          </w:tcPr>
          <w:p w14:paraId="1337CB76">
            <w:pPr>
              <w:spacing w:before="156" w:beforeLines="50" w:after="156" w:afterLines="50"/>
              <w:jc w:val="left"/>
              <w:rPr>
                <w:rFonts w:hint="eastAsia" w:ascii="宋体" w:hAnsi="宋体"/>
              </w:rPr>
            </w:pPr>
            <w:r>
              <w:rPr>
                <w:rFonts w:hint="eastAsia" w:ascii="宋体" w:hAnsi="宋体"/>
              </w:rPr>
              <w:t>近三年财务报表经审计，且审计意见均为无保留意见，得1分；近三年财务报表经审计，但未达到三年审计意见均为无保留意见，得0.8分；近三年财务报表未审计，得0.6分；企业自填非完整报表，得0.4分。</w:t>
            </w:r>
          </w:p>
        </w:tc>
      </w:tr>
      <w:tr w14:paraId="3A79A3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restart"/>
            <w:vAlign w:val="center"/>
          </w:tcPr>
          <w:p w14:paraId="343D6010">
            <w:pPr>
              <w:spacing w:before="156" w:beforeLines="50" w:after="156" w:afterLines="50"/>
              <w:jc w:val="center"/>
              <w:rPr>
                <w:rFonts w:hint="eastAsia" w:ascii="宋体" w:hAnsi="宋体"/>
              </w:rPr>
            </w:pPr>
            <w:r>
              <w:rPr>
                <w:rFonts w:hint="eastAsia" w:ascii="宋体" w:hAnsi="宋体"/>
              </w:rPr>
              <w:t>社会责任</w:t>
            </w:r>
            <w:r>
              <w:rPr>
                <w:rFonts w:hint="eastAsia" w:ascii="宋体" w:hAnsi="宋体"/>
              </w:rPr>
              <w:br w:type="textWrapping"/>
            </w:r>
            <w:r>
              <w:rPr>
                <w:rFonts w:hint="eastAsia" w:ascii="宋体" w:hAnsi="宋体"/>
              </w:rPr>
              <w:t>（27分）</w:t>
            </w:r>
          </w:p>
        </w:tc>
        <w:tc>
          <w:tcPr>
            <w:tcW w:w="1544" w:type="dxa"/>
            <w:vMerge w:val="restart"/>
            <w:vAlign w:val="center"/>
          </w:tcPr>
          <w:p w14:paraId="319B262C">
            <w:pPr>
              <w:spacing w:before="156" w:beforeLines="50" w:after="156" w:afterLines="50"/>
              <w:jc w:val="center"/>
              <w:rPr>
                <w:rFonts w:hint="eastAsia" w:ascii="宋体" w:hAnsi="宋体"/>
              </w:rPr>
            </w:pPr>
            <w:r>
              <w:rPr>
                <w:rFonts w:hint="eastAsia" w:ascii="宋体" w:hAnsi="宋体"/>
              </w:rPr>
              <w:t>近三年公共信用记录</w:t>
            </w:r>
            <w:r>
              <w:rPr>
                <w:rFonts w:hint="eastAsia" w:ascii="宋体" w:hAnsi="宋体"/>
              </w:rPr>
              <w:br w:type="textWrapping"/>
            </w:r>
            <w:r>
              <w:rPr>
                <w:rFonts w:hint="eastAsia" w:ascii="宋体" w:hAnsi="宋体"/>
              </w:rPr>
              <w:t>（15分）</w:t>
            </w:r>
          </w:p>
        </w:tc>
        <w:tc>
          <w:tcPr>
            <w:tcW w:w="2103" w:type="dxa"/>
            <w:vAlign w:val="center"/>
          </w:tcPr>
          <w:p w14:paraId="28143017">
            <w:pPr>
              <w:spacing w:before="156" w:beforeLines="50" w:after="156" w:afterLines="50"/>
              <w:jc w:val="left"/>
              <w:rPr>
                <w:rFonts w:hint="eastAsia" w:ascii="宋体" w:hAnsi="宋体"/>
              </w:rPr>
            </w:pPr>
            <w:r>
              <w:rPr>
                <w:rFonts w:hint="eastAsia" w:ascii="宋体" w:hAnsi="宋体"/>
              </w:rPr>
              <w:t>市场监管信用记录</w:t>
            </w:r>
          </w:p>
        </w:tc>
        <w:tc>
          <w:tcPr>
            <w:tcW w:w="891" w:type="dxa"/>
            <w:noWrap/>
            <w:vAlign w:val="center"/>
          </w:tcPr>
          <w:p w14:paraId="2985AE7C">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08839382">
            <w:pPr>
              <w:spacing w:before="156" w:beforeLines="50" w:after="156" w:afterLines="50"/>
              <w:jc w:val="left"/>
              <w:rPr>
                <w:rFonts w:hint="eastAsia" w:ascii="宋体" w:hAnsi="宋体"/>
              </w:rPr>
            </w:pPr>
            <w:r>
              <w:rPr>
                <w:rFonts w:hint="eastAsia" w:ascii="宋体" w:hAnsi="宋体"/>
              </w:rPr>
              <w:t>在市场监督管理部门的相关信用记录。</w:t>
            </w:r>
          </w:p>
        </w:tc>
        <w:tc>
          <w:tcPr>
            <w:tcW w:w="5684" w:type="dxa"/>
            <w:vAlign w:val="center"/>
          </w:tcPr>
          <w:p w14:paraId="3ABE8824">
            <w:pPr>
              <w:spacing w:before="156" w:beforeLines="50" w:after="156" w:afterLines="50"/>
              <w:jc w:val="left"/>
              <w:rPr>
                <w:rFonts w:hint="eastAsia" w:ascii="宋体" w:hAnsi="宋体"/>
              </w:rPr>
            </w:pPr>
            <w:r>
              <w:rPr>
                <w:rFonts w:hint="eastAsia" w:ascii="宋体" w:hAnsi="宋体"/>
              </w:rPr>
              <w:t>无不良记录，得3分；每出现一项不良记录视情节扣0.5-1分，最高扣3分。</w:t>
            </w:r>
          </w:p>
        </w:tc>
      </w:tr>
      <w:tr w14:paraId="4C1C51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67811CFD">
            <w:pPr>
              <w:spacing w:before="156" w:beforeLines="50" w:after="156" w:afterLines="50"/>
              <w:jc w:val="center"/>
              <w:rPr>
                <w:rFonts w:hint="eastAsia" w:ascii="宋体" w:hAnsi="宋体"/>
              </w:rPr>
            </w:pPr>
          </w:p>
        </w:tc>
        <w:tc>
          <w:tcPr>
            <w:tcW w:w="1544" w:type="dxa"/>
            <w:vMerge w:val="continue"/>
            <w:vAlign w:val="center"/>
          </w:tcPr>
          <w:p w14:paraId="5F42136A">
            <w:pPr>
              <w:spacing w:before="156" w:beforeLines="50" w:after="156" w:afterLines="50"/>
              <w:jc w:val="center"/>
              <w:rPr>
                <w:rFonts w:hint="eastAsia" w:ascii="宋体" w:hAnsi="宋体"/>
              </w:rPr>
            </w:pPr>
          </w:p>
        </w:tc>
        <w:tc>
          <w:tcPr>
            <w:tcW w:w="2103" w:type="dxa"/>
            <w:vAlign w:val="center"/>
          </w:tcPr>
          <w:p w14:paraId="04EFACDE">
            <w:pPr>
              <w:spacing w:before="156" w:beforeLines="50" w:after="156" w:afterLines="50"/>
              <w:jc w:val="left"/>
              <w:rPr>
                <w:rFonts w:hint="eastAsia" w:ascii="宋体" w:hAnsi="宋体"/>
              </w:rPr>
            </w:pPr>
            <w:r>
              <w:rPr>
                <w:rFonts w:hint="eastAsia" w:ascii="宋体" w:hAnsi="宋体"/>
              </w:rPr>
              <w:t>纳税信用记录</w:t>
            </w:r>
          </w:p>
        </w:tc>
        <w:tc>
          <w:tcPr>
            <w:tcW w:w="891" w:type="dxa"/>
            <w:noWrap/>
            <w:vAlign w:val="center"/>
          </w:tcPr>
          <w:p w14:paraId="79C76E94">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72EA0ADD">
            <w:pPr>
              <w:spacing w:before="156" w:beforeLines="50" w:after="156" w:afterLines="50"/>
              <w:jc w:val="left"/>
              <w:rPr>
                <w:rFonts w:hint="eastAsia" w:ascii="宋体" w:hAnsi="宋体"/>
              </w:rPr>
            </w:pPr>
            <w:r>
              <w:rPr>
                <w:rFonts w:hint="eastAsia" w:ascii="宋体" w:hAnsi="宋体"/>
              </w:rPr>
              <w:t>在国家税务部门的相关信用记录。</w:t>
            </w:r>
          </w:p>
        </w:tc>
        <w:tc>
          <w:tcPr>
            <w:tcW w:w="5684" w:type="dxa"/>
            <w:vAlign w:val="center"/>
          </w:tcPr>
          <w:p w14:paraId="17AFBE18">
            <w:pPr>
              <w:spacing w:before="156" w:beforeLines="50" w:after="156" w:afterLines="50"/>
              <w:jc w:val="left"/>
              <w:rPr>
                <w:rFonts w:hint="eastAsia" w:ascii="宋体" w:hAnsi="宋体"/>
              </w:rPr>
            </w:pPr>
            <w:r>
              <w:rPr>
                <w:rFonts w:hint="eastAsia" w:ascii="宋体" w:hAnsi="宋体"/>
              </w:rPr>
              <w:t>纳税信用A级企业，且无税务不良记录，得3分；无税务不良记录得2分；有不良记录，得0分。</w:t>
            </w:r>
          </w:p>
        </w:tc>
      </w:tr>
      <w:tr w14:paraId="728515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75679B63">
            <w:pPr>
              <w:spacing w:before="156" w:beforeLines="50" w:after="156" w:afterLines="50"/>
              <w:jc w:val="center"/>
              <w:rPr>
                <w:rFonts w:hint="eastAsia" w:ascii="宋体" w:hAnsi="宋体"/>
              </w:rPr>
            </w:pPr>
          </w:p>
        </w:tc>
        <w:tc>
          <w:tcPr>
            <w:tcW w:w="1544" w:type="dxa"/>
            <w:vMerge w:val="continue"/>
            <w:vAlign w:val="center"/>
          </w:tcPr>
          <w:p w14:paraId="22C10972">
            <w:pPr>
              <w:spacing w:before="156" w:beforeLines="50" w:after="156" w:afterLines="50"/>
              <w:jc w:val="center"/>
              <w:rPr>
                <w:rFonts w:hint="eastAsia" w:ascii="宋体" w:hAnsi="宋体"/>
              </w:rPr>
            </w:pPr>
          </w:p>
        </w:tc>
        <w:tc>
          <w:tcPr>
            <w:tcW w:w="2103" w:type="dxa"/>
            <w:vAlign w:val="center"/>
          </w:tcPr>
          <w:p w14:paraId="62942437">
            <w:pPr>
              <w:spacing w:before="156" w:beforeLines="50" w:after="156" w:afterLines="50"/>
              <w:jc w:val="left"/>
              <w:rPr>
                <w:rFonts w:hint="eastAsia" w:ascii="宋体" w:hAnsi="宋体"/>
              </w:rPr>
            </w:pPr>
            <w:r>
              <w:rPr>
                <w:rFonts w:hint="eastAsia" w:ascii="宋体" w:hAnsi="宋体"/>
              </w:rPr>
              <w:t>司法信用记录</w:t>
            </w:r>
          </w:p>
        </w:tc>
        <w:tc>
          <w:tcPr>
            <w:tcW w:w="891" w:type="dxa"/>
            <w:noWrap/>
            <w:vAlign w:val="center"/>
          </w:tcPr>
          <w:p w14:paraId="683E4EF5">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39680C4F">
            <w:pPr>
              <w:spacing w:before="156" w:beforeLines="50" w:after="156" w:afterLines="50"/>
              <w:jc w:val="left"/>
              <w:rPr>
                <w:rFonts w:hint="eastAsia" w:ascii="宋体" w:hAnsi="宋体"/>
              </w:rPr>
            </w:pPr>
            <w:r>
              <w:rPr>
                <w:rFonts w:hint="eastAsia" w:ascii="宋体" w:hAnsi="宋体"/>
              </w:rPr>
              <w:t>在国家司法部门的相关信用记录。</w:t>
            </w:r>
          </w:p>
        </w:tc>
        <w:tc>
          <w:tcPr>
            <w:tcW w:w="5684" w:type="dxa"/>
            <w:vAlign w:val="center"/>
          </w:tcPr>
          <w:p w14:paraId="67ACFD7A">
            <w:pPr>
              <w:spacing w:before="156" w:beforeLines="50" w:after="156" w:afterLines="50"/>
              <w:jc w:val="left"/>
              <w:rPr>
                <w:rFonts w:hint="eastAsia" w:ascii="宋体" w:hAnsi="宋体"/>
              </w:rPr>
            </w:pPr>
            <w:r>
              <w:rPr>
                <w:rFonts w:hint="eastAsia" w:ascii="宋体" w:hAnsi="宋体"/>
              </w:rPr>
              <w:t>无司法不良记录，得3分；出现被执行人信息1条扣1分，最高扣3分。为失信被执行人暂停评审。</w:t>
            </w:r>
          </w:p>
        </w:tc>
      </w:tr>
      <w:tr w14:paraId="78AB54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76A22333">
            <w:pPr>
              <w:spacing w:before="156" w:beforeLines="50" w:after="156" w:afterLines="50"/>
              <w:jc w:val="center"/>
              <w:rPr>
                <w:rFonts w:hint="eastAsia" w:ascii="宋体" w:hAnsi="宋体"/>
              </w:rPr>
            </w:pPr>
          </w:p>
        </w:tc>
        <w:tc>
          <w:tcPr>
            <w:tcW w:w="1544" w:type="dxa"/>
            <w:vMerge w:val="continue"/>
            <w:vAlign w:val="center"/>
          </w:tcPr>
          <w:p w14:paraId="452D518A">
            <w:pPr>
              <w:spacing w:before="156" w:beforeLines="50" w:after="156" w:afterLines="50"/>
              <w:jc w:val="center"/>
              <w:rPr>
                <w:rFonts w:hint="eastAsia" w:ascii="宋体" w:hAnsi="宋体"/>
              </w:rPr>
            </w:pPr>
          </w:p>
        </w:tc>
        <w:tc>
          <w:tcPr>
            <w:tcW w:w="2103" w:type="dxa"/>
            <w:vAlign w:val="center"/>
          </w:tcPr>
          <w:p w14:paraId="769DF844">
            <w:pPr>
              <w:spacing w:before="156" w:beforeLines="50" w:after="156" w:afterLines="50"/>
              <w:jc w:val="left"/>
              <w:rPr>
                <w:rFonts w:hint="eastAsia" w:ascii="宋体" w:hAnsi="宋体"/>
              </w:rPr>
            </w:pPr>
            <w:r>
              <w:rPr>
                <w:rFonts w:hint="eastAsia" w:ascii="宋体" w:hAnsi="宋体"/>
              </w:rPr>
              <w:t>央行信用记录</w:t>
            </w:r>
          </w:p>
        </w:tc>
        <w:tc>
          <w:tcPr>
            <w:tcW w:w="891" w:type="dxa"/>
            <w:noWrap/>
            <w:vAlign w:val="center"/>
          </w:tcPr>
          <w:p w14:paraId="254A4071">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2C96ECB8">
            <w:pPr>
              <w:spacing w:before="156" w:beforeLines="50" w:after="156" w:afterLines="50"/>
              <w:jc w:val="left"/>
              <w:rPr>
                <w:rFonts w:hint="eastAsia" w:ascii="宋体" w:hAnsi="宋体"/>
              </w:rPr>
            </w:pPr>
            <w:r>
              <w:rPr>
                <w:rFonts w:hint="eastAsia" w:ascii="宋体" w:hAnsi="宋体"/>
              </w:rPr>
              <w:t>在中国人民银行征信中心的相关信用记录。</w:t>
            </w:r>
          </w:p>
        </w:tc>
        <w:tc>
          <w:tcPr>
            <w:tcW w:w="5684" w:type="dxa"/>
            <w:vAlign w:val="center"/>
          </w:tcPr>
          <w:p w14:paraId="35041521">
            <w:pPr>
              <w:spacing w:before="156" w:beforeLines="50" w:after="156" w:afterLines="50"/>
              <w:jc w:val="left"/>
              <w:rPr>
                <w:rFonts w:hint="eastAsia" w:ascii="宋体" w:hAnsi="宋体"/>
              </w:rPr>
            </w:pPr>
            <w:r>
              <w:rPr>
                <w:rFonts w:hint="eastAsia" w:ascii="宋体" w:hAnsi="宋体"/>
              </w:rPr>
              <w:t>提供企业或法定代表人征信报告，且报告无不良记录，得2分；未提供或有不良记录，得0分。</w:t>
            </w:r>
          </w:p>
        </w:tc>
      </w:tr>
      <w:tr w14:paraId="4DB559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continue"/>
            <w:vAlign w:val="center"/>
          </w:tcPr>
          <w:p w14:paraId="5FE8BBD0">
            <w:pPr>
              <w:spacing w:before="156" w:beforeLines="50" w:after="156" w:afterLines="50"/>
              <w:jc w:val="center"/>
              <w:rPr>
                <w:rFonts w:hint="eastAsia" w:ascii="宋体" w:hAnsi="宋体"/>
              </w:rPr>
            </w:pPr>
          </w:p>
        </w:tc>
        <w:tc>
          <w:tcPr>
            <w:tcW w:w="1544" w:type="dxa"/>
            <w:vMerge w:val="continue"/>
            <w:vAlign w:val="center"/>
          </w:tcPr>
          <w:p w14:paraId="7E79FA18">
            <w:pPr>
              <w:spacing w:before="156" w:beforeLines="50" w:after="156" w:afterLines="50"/>
              <w:jc w:val="center"/>
              <w:rPr>
                <w:rFonts w:hint="eastAsia" w:ascii="宋体" w:hAnsi="宋体"/>
              </w:rPr>
            </w:pPr>
          </w:p>
        </w:tc>
        <w:tc>
          <w:tcPr>
            <w:tcW w:w="2103" w:type="dxa"/>
            <w:vAlign w:val="center"/>
          </w:tcPr>
          <w:p w14:paraId="287C5B43">
            <w:pPr>
              <w:spacing w:before="156" w:beforeLines="50" w:after="156" w:afterLines="50"/>
              <w:jc w:val="left"/>
              <w:rPr>
                <w:rFonts w:hint="eastAsia" w:ascii="宋体" w:hAnsi="宋体"/>
              </w:rPr>
            </w:pPr>
            <w:r>
              <w:rPr>
                <w:rFonts w:hint="eastAsia" w:ascii="宋体" w:hAnsi="宋体"/>
              </w:rPr>
              <w:t>其他行政单位信用记录</w:t>
            </w:r>
          </w:p>
        </w:tc>
        <w:tc>
          <w:tcPr>
            <w:tcW w:w="891" w:type="dxa"/>
            <w:noWrap/>
            <w:vAlign w:val="center"/>
          </w:tcPr>
          <w:p w14:paraId="45C5EC96">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551208C3">
            <w:pPr>
              <w:spacing w:before="156" w:beforeLines="50" w:after="156" w:afterLines="50"/>
              <w:jc w:val="left"/>
              <w:rPr>
                <w:rFonts w:hint="eastAsia" w:ascii="宋体" w:hAnsi="宋体"/>
              </w:rPr>
            </w:pPr>
            <w:r>
              <w:rPr>
                <w:rFonts w:hint="eastAsia" w:ascii="宋体" w:hAnsi="宋体"/>
              </w:rPr>
              <w:t>在除市场监管、税务、司法等部门以外的其他行政单位的相关信用记录。</w:t>
            </w:r>
          </w:p>
        </w:tc>
        <w:tc>
          <w:tcPr>
            <w:tcW w:w="5684" w:type="dxa"/>
            <w:vAlign w:val="center"/>
          </w:tcPr>
          <w:p w14:paraId="2FE70B9D">
            <w:pPr>
              <w:spacing w:before="156" w:beforeLines="50" w:after="156" w:afterLines="50"/>
              <w:jc w:val="left"/>
              <w:rPr>
                <w:rFonts w:hint="eastAsia" w:ascii="宋体" w:hAnsi="宋体"/>
              </w:rPr>
            </w:pPr>
            <w:r>
              <w:rPr>
                <w:rFonts w:hint="eastAsia" w:ascii="宋体" w:hAnsi="宋体"/>
              </w:rPr>
              <w:t>无不良记录，得3分；每出现一项不良记录扣1分，最高扣3分。</w:t>
            </w:r>
          </w:p>
        </w:tc>
      </w:tr>
      <w:tr w14:paraId="2E09E6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6" w:hRule="atLeast"/>
        </w:trPr>
        <w:tc>
          <w:tcPr>
            <w:tcW w:w="1302" w:type="dxa"/>
            <w:vMerge w:val="continue"/>
            <w:vAlign w:val="center"/>
          </w:tcPr>
          <w:p w14:paraId="413D50C8">
            <w:pPr>
              <w:spacing w:before="156" w:beforeLines="50" w:after="156" w:afterLines="50"/>
              <w:jc w:val="center"/>
              <w:rPr>
                <w:rFonts w:hint="eastAsia" w:ascii="宋体" w:hAnsi="宋体"/>
              </w:rPr>
            </w:pPr>
          </w:p>
        </w:tc>
        <w:tc>
          <w:tcPr>
            <w:tcW w:w="1544" w:type="dxa"/>
            <w:vMerge w:val="restart"/>
            <w:vAlign w:val="center"/>
          </w:tcPr>
          <w:p w14:paraId="6850DED2">
            <w:pPr>
              <w:spacing w:before="156" w:beforeLines="50" w:after="156" w:afterLines="50"/>
              <w:jc w:val="center"/>
              <w:rPr>
                <w:rFonts w:hint="eastAsia" w:ascii="宋体" w:hAnsi="宋体"/>
              </w:rPr>
            </w:pPr>
            <w:r>
              <w:rPr>
                <w:rFonts w:hint="eastAsia" w:ascii="宋体" w:hAnsi="宋体"/>
              </w:rPr>
              <w:t>社会贡献记录</w:t>
            </w:r>
            <w:r>
              <w:rPr>
                <w:rFonts w:hint="eastAsia" w:ascii="宋体" w:hAnsi="宋体"/>
              </w:rPr>
              <w:br w:type="textWrapping"/>
            </w:r>
            <w:r>
              <w:rPr>
                <w:rFonts w:hint="eastAsia" w:ascii="宋体" w:hAnsi="宋体"/>
              </w:rPr>
              <w:t>（6分）</w:t>
            </w:r>
          </w:p>
        </w:tc>
        <w:tc>
          <w:tcPr>
            <w:tcW w:w="2103" w:type="dxa"/>
            <w:vAlign w:val="center"/>
          </w:tcPr>
          <w:p w14:paraId="01811A26">
            <w:pPr>
              <w:spacing w:before="156" w:beforeLines="50" w:after="156" w:afterLines="50"/>
              <w:jc w:val="left"/>
              <w:rPr>
                <w:rFonts w:hint="eastAsia" w:ascii="宋体" w:hAnsi="宋体"/>
              </w:rPr>
            </w:pPr>
            <w:r>
              <w:rPr>
                <w:rFonts w:hint="eastAsia" w:ascii="宋体" w:hAnsi="宋体"/>
              </w:rPr>
              <w:t>环境发展</w:t>
            </w:r>
          </w:p>
        </w:tc>
        <w:tc>
          <w:tcPr>
            <w:tcW w:w="891" w:type="dxa"/>
            <w:noWrap/>
            <w:vAlign w:val="center"/>
          </w:tcPr>
          <w:p w14:paraId="50D4E0F2">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11C68626">
            <w:pPr>
              <w:spacing w:before="156" w:beforeLines="50" w:after="156" w:afterLines="50"/>
              <w:jc w:val="left"/>
              <w:rPr>
                <w:rFonts w:hint="eastAsia" w:ascii="宋体" w:hAnsi="宋体"/>
              </w:rPr>
            </w:pPr>
            <w:r>
              <w:rPr>
                <w:rFonts w:hint="eastAsia" w:ascii="宋体" w:hAnsi="宋体"/>
              </w:rPr>
              <w:t>环境保护、绿色低碳、发布社会责任报告、诚信承诺等。</w:t>
            </w:r>
          </w:p>
        </w:tc>
        <w:tc>
          <w:tcPr>
            <w:tcW w:w="5684" w:type="dxa"/>
            <w:vAlign w:val="center"/>
          </w:tcPr>
          <w:p w14:paraId="081523C5">
            <w:pPr>
              <w:spacing w:before="156" w:beforeLines="50" w:after="156" w:afterLines="50"/>
              <w:jc w:val="left"/>
              <w:rPr>
                <w:rFonts w:hint="eastAsia" w:ascii="宋体" w:hAnsi="宋体"/>
              </w:rPr>
            </w:pPr>
            <w:r>
              <w:rPr>
                <w:rFonts w:hint="eastAsia" w:ascii="宋体" w:hAnsi="宋体"/>
              </w:rPr>
              <w:t>近五年记录，有任一项得2分；无，得0分。</w:t>
            </w:r>
          </w:p>
        </w:tc>
      </w:tr>
      <w:tr w14:paraId="277100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84" w:hRule="atLeast"/>
        </w:trPr>
        <w:tc>
          <w:tcPr>
            <w:tcW w:w="1302" w:type="dxa"/>
            <w:vMerge w:val="continue"/>
            <w:vAlign w:val="center"/>
          </w:tcPr>
          <w:p w14:paraId="4CD7D85A">
            <w:pPr>
              <w:spacing w:before="156" w:beforeLines="50" w:after="156" w:afterLines="50"/>
              <w:jc w:val="center"/>
              <w:rPr>
                <w:rFonts w:hint="eastAsia" w:ascii="宋体" w:hAnsi="宋体"/>
              </w:rPr>
            </w:pPr>
          </w:p>
        </w:tc>
        <w:tc>
          <w:tcPr>
            <w:tcW w:w="1544" w:type="dxa"/>
            <w:vMerge w:val="continue"/>
            <w:vAlign w:val="center"/>
          </w:tcPr>
          <w:p w14:paraId="0F93C89E">
            <w:pPr>
              <w:spacing w:before="156" w:beforeLines="50" w:after="156" w:afterLines="50"/>
              <w:jc w:val="center"/>
              <w:rPr>
                <w:rFonts w:hint="eastAsia" w:ascii="宋体" w:hAnsi="宋体"/>
              </w:rPr>
            </w:pPr>
          </w:p>
        </w:tc>
        <w:tc>
          <w:tcPr>
            <w:tcW w:w="2103" w:type="dxa"/>
            <w:vAlign w:val="center"/>
          </w:tcPr>
          <w:p w14:paraId="338419A9">
            <w:pPr>
              <w:spacing w:before="156" w:beforeLines="50" w:after="156" w:afterLines="50"/>
              <w:jc w:val="left"/>
              <w:rPr>
                <w:rFonts w:hint="eastAsia" w:ascii="宋体" w:hAnsi="宋体"/>
              </w:rPr>
            </w:pPr>
            <w:r>
              <w:rPr>
                <w:rFonts w:hint="eastAsia" w:ascii="宋体" w:hAnsi="宋体"/>
              </w:rPr>
              <w:t>所获荣誉</w:t>
            </w:r>
          </w:p>
        </w:tc>
        <w:tc>
          <w:tcPr>
            <w:tcW w:w="891" w:type="dxa"/>
            <w:noWrap/>
            <w:vAlign w:val="center"/>
          </w:tcPr>
          <w:p w14:paraId="6DD92E13">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3FC98C42">
            <w:pPr>
              <w:spacing w:before="156" w:beforeLines="50" w:after="156" w:afterLines="50"/>
              <w:jc w:val="left"/>
              <w:rPr>
                <w:rFonts w:hint="eastAsia" w:ascii="宋体" w:hAnsi="宋体"/>
              </w:rPr>
            </w:pPr>
            <w:r>
              <w:rPr>
                <w:rFonts w:hint="eastAsia" w:ascii="宋体" w:hAnsi="宋体"/>
              </w:rPr>
              <w:t>企业所获得的社会荣誉是社会对企业的一种肯定，可从侧面反映企业的信用情况。</w:t>
            </w:r>
          </w:p>
        </w:tc>
        <w:tc>
          <w:tcPr>
            <w:tcW w:w="5684" w:type="dxa"/>
            <w:vAlign w:val="center"/>
          </w:tcPr>
          <w:p w14:paraId="32169579">
            <w:pPr>
              <w:spacing w:before="156" w:beforeLines="50" w:after="156" w:afterLines="50"/>
              <w:jc w:val="left"/>
              <w:rPr>
                <w:rFonts w:hint="eastAsia" w:ascii="宋体" w:hAnsi="宋体"/>
              </w:rPr>
            </w:pPr>
            <w:r>
              <w:rPr>
                <w:rFonts w:hint="eastAsia" w:ascii="宋体" w:hAnsi="宋体"/>
              </w:rPr>
              <w:t>近五年获得省、部级及以上国家行政主管部门或全国性行业协会表彰，有任一项得2分；获得市（县）级以上国家行政主管部门或省级行业协会表彰的，有1项得1分，总分不超过2分。</w:t>
            </w:r>
          </w:p>
        </w:tc>
      </w:tr>
      <w:tr w14:paraId="43A6C8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52" w:hRule="atLeast"/>
        </w:trPr>
        <w:tc>
          <w:tcPr>
            <w:tcW w:w="1302" w:type="dxa"/>
            <w:vMerge w:val="continue"/>
            <w:vAlign w:val="center"/>
          </w:tcPr>
          <w:p w14:paraId="351DA150">
            <w:pPr>
              <w:spacing w:before="156" w:beforeLines="50" w:after="156" w:afterLines="50"/>
              <w:jc w:val="center"/>
              <w:rPr>
                <w:rFonts w:hint="eastAsia" w:ascii="宋体" w:hAnsi="宋体"/>
              </w:rPr>
            </w:pPr>
          </w:p>
        </w:tc>
        <w:tc>
          <w:tcPr>
            <w:tcW w:w="1544" w:type="dxa"/>
            <w:vMerge w:val="continue"/>
            <w:vAlign w:val="center"/>
          </w:tcPr>
          <w:p w14:paraId="4CC258EC">
            <w:pPr>
              <w:spacing w:before="156" w:beforeLines="50" w:after="156" w:afterLines="50"/>
              <w:jc w:val="center"/>
              <w:rPr>
                <w:rFonts w:hint="eastAsia" w:ascii="宋体" w:hAnsi="宋体"/>
              </w:rPr>
            </w:pPr>
          </w:p>
        </w:tc>
        <w:tc>
          <w:tcPr>
            <w:tcW w:w="2103" w:type="dxa"/>
            <w:vAlign w:val="center"/>
          </w:tcPr>
          <w:p w14:paraId="56DA2DED">
            <w:pPr>
              <w:spacing w:before="156" w:beforeLines="50" w:after="156" w:afterLines="50"/>
              <w:jc w:val="left"/>
              <w:rPr>
                <w:rFonts w:hint="eastAsia" w:ascii="宋体" w:hAnsi="宋体"/>
              </w:rPr>
            </w:pPr>
            <w:r>
              <w:rPr>
                <w:rFonts w:hint="eastAsia" w:ascii="宋体" w:hAnsi="宋体"/>
              </w:rPr>
              <w:t>社会公益</w:t>
            </w:r>
          </w:p>
        </w:tc>
        <w:tc>
          <w:tcPr>
            <w:tcW w:w="891" w:type="dxa"/>
            <w:noWrap/>
            <w:vAlign w:val="center"/>
          </w:tcPr>
          <w:p w14:paraId="0B20AEEC">
            <w:pPr>
              <w:spacing w:before="156" w:beforeLines="50" w:after="156" w:afterLines="50"/>
              <w:jc w:val="center"/>
              <w:rPr>
                <w:rFonts w:hint="eastAsia" w:ascii="宋体" w:hAnsi="宋体"/>
              </w:rPr>
            </w:pPr>
            <w:r>
              <w:rPr>
                <w:rFonts w:hint="eastAsia" w:ascii="宋体" w:hAnsi="宋体"/>
              </w:rPr>
              <w:t>2分</w:t>
            </w:r>
          </w:p>
        </w:tc>
        <w:tc>
          <w:tcPr>
            <w:tcW w:w="3017" w:type="dxa"/>
            <w:vAlign w:val="center"/>
          </w:tcPr>
          <w:p w14:paraId="7FE354B2">
            <w:pPr>
              <w:spacing w:before="156" w:beforeLines="50" w:after="156" w:afterLines="50"/>
              <w:jc w:val="left"/>
              <w:rPr>
                <w:rFonts w:hint="eastAsia" w:ascii="宋体" w:hAnsi="宋体"/>
              </w:rPr>
            </w:pPr>
            <w:r>
              <w:rPr>
                <w:rFonts w:hint="eastAsia" w:ascii="宋体" w:hAnsi="宋体"/>
              </w:rPr>
              <w:t>解决社会就业情况，面向社会提供公益服务、捐助情况。</w:t>
            </w:r>
          </w:p>
        </w:tc>
        <w:tc>
          <w:tcPr>
            <w:tcW w:w="5684" w:type="dxa"/>
            <w:vAlign w:val="center"/>
          </w:tcPr>
          <w:p w14:paraId="4F351D03">
            <w:pPr>
              <w:spacing w:before="156" w:beforeLines="50" w:after="156" w:afterLines="50"/>
              <w:jc w:val="left"/>
              <w:rPr>
                <w:rFonts w:hint="eastAsia" w:ascii="宋体" w:hAnsi="宋体"/>
              </w:rPr>
            </w:pPr>
            <w:r>
              <w:rPr>
                <w:rFonts w:hint="eastAsia" w:ascii="宋体" w:hAnsi="宋体"/>
              </w:rPr>
              <w:t>近五年有效开展社会公益活动超过3次或累计公益捐款在10万元以上的，得2分；参与社会公益活动次数低于3次或累计向公益活动捐款低于10万元的，得1.5分；国内外均未开展任何企业社会公益活动，得0分。</w:t>
            </w:r>
          </w:p>
        </w:tc>
      </w:tr>
      <w:tr w14:paraId="638100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continue"/>
            <w:vAlign w:val="center"/>
          </w:tcPr>
          <w:p w14:paraId="706FF3E4">
            <w:pPr>
              <w:spacing w:before="156" w:beforeLines="50" w:after="156" w:afterLines="50"/>
              <w:jc w:val="center"/>
              <w:rPr>
                <w:rFonts w:hint="eastAsia" w:ascii="宋体" w:hAnsi="宋体"/>
              </w:rPr>
            </w:pPr>
          </w:p>
        </w:tc>
        <w:tc>
          <w:tcPr>
            <w:tcW w:w="1544" w:type="dxa"/>
            <w:vMerge w:val="restart"/>
            <w:vAlign w:val="center"/>
          </w:tcPr>
          <w:p w14:paraId="11EC6DFD">
            <w:pPr>
              <w:spacing w:before="156" w:beforeLines="50" w:after="156" w:afterLines="50"/>
              <w:jc w:val="center"/>
              <w:rPr>
                <w:rFonts w:hint="eastAsia" w:ascii="宋体" w:hAnsi="宋体"/>
              </w:rPr>
            </w:pPr>
            <w:r>
              <w:rPr>
                <w:rFonts w:hint="eastAsia" w:ascii="宋体" w:hAnsi="宋体"/>
              </w:rPr>
              <w:t>对员工信用记录</w:t>
            </w:r>
            <w:r>
              <w:rPr>
                <w:rFonts w:hint="eastAsia" w:ascii="宋体" w:hAnsi="宋体"/>
              </w:rPr>
              <w:br w:type="textWrapping"/>
            </w:r>
            <w:r>
              <w:rPr>
                <w:rFonts w:hint="eastAsia" w:ascii="宋体" w:hAnsi="宋体"/>
              </w:rPr>
              <w:t>（6分）</w:t>
            </w:r>
          </w:p>
        </w:tc>
        <w:tc>
          <w:tcPr>
            <w:tcW w:w="2103" w:type="dxa"/>
            <w:vAlign w:val="center"/>
          </w:tcPr>
          <w:p w14:paraId="364435A3">
            <w:pPr>
              <w:spacing w:before="156" w:beforeLines="50" w:after="156" w:afterLines="50"/>
              <w:jc w:val="left"/>
              <w:rPr>
                <w:rFonts w:hint="eastAsia" w:ascii="宋体" w:hAnsi="宋体"/>
              </w:rPr>
            </w:pPr>
            <w:r>
              <w:rPr>
                <w:rFonts w:hint="eastAsia" w:ascii="宋体" w:hAnsi="宋体"/>
              </w:rPr>
              <w:t>社保、公积金等缴纳</w:t>
            </w:r>
          </w:p>
        </w:tc>
        <w:tc>
          <w:tcPr>
            <w:tcW w:w="891" w:type="dxa"/>
            <w:noWrap/>
            <w:vAlign w:val="center"/>
          </w:tcPr>
          <w:p w14:paraId="71CA86ED">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01A734B4">
            <w:pPr>
              <w:spacing w:before="156" w:beforeLines="50" w:after="156" w:afterLines="50"/>
              <w:jc w:val="left"/>
              <w:rPr>
                <w:rFonts w:hint="eastAsia" w:ascii="宋体" w:hAnsi="宋体"/>
              </w:rPr>
            </w:pPr>
            <w:r>
              <w:rPr>
                <w:rFonts w:hint="eastAsia" w:ascii="宋体" w:hAnsi="宋体"/>
              </w:rPr>
              <w:t>为员工缴纳五险一金情况。</w:t>
            </w:r>
          </w:p>
        </w:tc>
        <w:tc>
          <w:tcPr>
            <w:tcW w:w="5684" w:type="dxa"/>
            <w:vAlign w:val="center"/>
          </w:tcPr>
          <w:p w14:paraId="069D8196">
            <w:pPr>
              <w:spacing w:before="156" w:beforeLines="50" w:after="156" w:afterLines="50"/>
              <w:jc w:val="left"/>
              <w:rPr>
                <w:rFonts w:hint="eastAsia" w:ascii="宋体" w:hAnsi="宋体"/>
              </w:rPr>
            </w:pPr>
            <w:r>
              <w:rPr>
                <w:rFonts w:hint="eastAsia" w:ascii="宋体" w:hAnsi="宋体"/>
              </w:rPr>
              <w:t>近三年按时足额为全体员工缴纳五险一金，得3分；为全体员工缴纳五险，得1.6分；为全体员工缴纳四险，1.2分；缴纳人数低于总人数50%，得0分。</w:t>
            </w:r>
          </w:p>
        </w:tc>
      </w:tr>
      <w:tr w14:paraId="2A64F1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64" w:hRule="atLeast"/>
        </w:trPr>
        <w:tc>
          <w:tcPr>
            <w:tcW w:w="1302" w:type="dxa"/>
            <w:vMerge w:val="continue"/>
            <w:vAlign w:val="center"/>
          </w:tcPr>
          <w:p w14:paraId="6704DAFA">
            <w:pPr>
              <w:spacing w:before="156" w:beforeLines="50" w:after="156" w:afterLines="50"/>
              <w:jc w:val="center"/>
              <w:rPr>
                <w:rFonts w:hint="eastAsia" w:ascii="宋体" w:hAnsi="宋体"/>
              </w:rPr>
            </w:pPr>
          </w:p>
        </w:tc>
        <w:tc>
          <w:tcPr>
            <w:tcW w:w="1544" w:type="dxa"/>
            <w:vMerge w:val="continue"/>
            <w:vAlign w:val="center"/>
          </w:tcPr>
          <w:p w14:paraId="4051A4C1">
            <w:pPr>
              <w:spacing w:before="156" w:beforeLines="50" w:after="156" w:afterLines="50"/>
              <w:jc w:val="center"/>
              <w:rPr>
                <w:rFonts w:hint="eastAsia" w:ascii="宋体" w:hAnsi="宋体"/>
              </w:rPr>
            </w:pPr>
          </w:p>
        </w:tc>
        <w:tc>
          <w:tcPr>
            <w:tcW w:w="2103" w:type="dxa"/>
            <w:vAlign w:val="center"/>
          </w:tcPr>
          <w:p w14:paraId="172A443A">
            <w:pPr>
              <w:spacing w:before="156" w:beforeLines="50" w:after="156" w:afterLines="50"/>
              <w:jc w:val="left"/>
              <w:rPr>
                <w:rFonts w:hint="eastAsia" w:ascii="宋体" w:hAnsi="宋体"/>
              </w:rPr>
            </w:pPr>
            <w:r>
              <w:rPr>
                <w:rFonts w:hint="eastAsia" w:ascii="宋体" w:hAnsi="宋体"/>
              </w:rPr>
              <w:t>工资支付、劳动福利与保障</w:t>
            </w:r>
          </w:p>
        </w:tc>
        <w:tc>
          <w:tcPr>
            <w:tcW w:w="891" w:type="dxa"/>
            <w:noWrap/>
            <w:vAlign w:val="center"/>
          </w:tcPr>
          <w:p w14:paraId="4B881CD1">
            <w:pPr>
              <w:spacing w:before="156" w:beforeLines="50" w:after="156" w:afterLines="50"/>
              <w:jc w:val="center"/>
              <w:rPr>
                <w:rFonts w:hint="eastAsia" w:ascii="宋体" w:hAnsi="宋体"/>
              </w:rPr>
            </w:pPr>
            <w:r>
              <w:rPr>
                <w:rFonts w:hint="eastAsia" w:ascii="宋体" w:hAnsi="宋体"/>
              </w:rPr>
              <w:t>3分</w:t>
            </w:r>
          </w:p>
        </w:tc>
        <w:tc>
          <w:tcPr>
            <w:tcW w:w="3017" w:type="dxa"/>
            <w:vAlign w:val="center"/>
          </w:tcPr>
          <w:p w14:paraId="3FC65D29">
            <w:pPr>
              <w:spacing w:before="156" w:beforeLines="50" w:after="156" w:afterLines="50"/>
              <w:jc w:val="left"/>
              <w:rPr>
                <w:rFonts w:hint="eastAsia" w:ascii="宋体" w:hAnsi="宋体"/>
              </w:rPr>
            </w:pPr>
            <w:r>
              <w:rPr>
                <w:rFonts w:hint="eastAsia" w:ascii="宋体" w:hAnsi="宋体"/>
              </w:rPr>
              <w:t>与员工签订劳动合同、对员工的工资支付和为员工实施劳动保护情况。</w:t>
            </w:r>
          </w:p>
        </w:tc>
        <w:tc>
          <w:tcPr>
            <w:tcW w:w="5684" w:type="dxa"/>
            <w:vAlign w:val="center"/>
          </w:tcPr>
          <w:p w14:paraId="37F0C290">
            <w:pPr>
              <w:spacing w:before="156" w:beforeLines="50" w:after="156" w:afterLines="50"/>
              <w:jc w:val="left"/>
              <w:rPr>
                <w:rFonts w:hint="eastAsia" w:ascii="宋体" w:hAnsi="宋体"/>
              </w:rPr>
            </w:pPr>
            <w:r>
              <w:rPr>
                <w:rFonts w:hint="eastAsia" w:ascii="宋体" w:hAnsi="宋体"/>
              </w:rPr>
              <w:t>建立有完善的员工安全及权益保障制度，得3分；建立员工安全及权益保障制度，但不够完善，得 1.5分；无员工安全及权益保障制度，得0分。</w:t>
            </w:r>
          </w:p>
        </w:tc>
      </w:tr>
    </w:tbl>
    <w:p w14:paraId="7980C81C">
      <w:pPr>
        <w:spacing w:before="156" w:beforeLines="50" w:after="156" w:afterLines="50"/>
        <w:jc w:val="center"/>
        <w:rPr>
          <w:rFonts w:hint="eastAsia" w:ascii="宋体" w:hAnsi="宋体"/>
        </w:rPr>
        <w:sectPr>
          <w:headerReference r:id="rId15" w:type="default"/>
          <w:headerReference r:id="rId16" w:type="even"/>
          <w:footerReference r:id="rId17" w:type="even"/>
          <w:pgSz w:w="16839" w:h="11907" w:orient="landscape"/>
          <w:pgMar w:top="1985" w:right="1134" w:bottom="1134" w:left="1134" w:header="1418" w:footer="851" w:gutter="0"/>
          <w:cols w:space="720" w:num="1"/>
          <w:docGrid w:type="linesAndChars" w:linePitch="312" w:charSpace="0"/>
        </w:sectPr>
      </w:pPr>
      <w:r>
        <w:rPr>
          <w:rFonts w:ascii="宋体" w:hAnsi="宋体"/>
        </w:rPr>
        <w:t xml:space="preserve"> </w:t>
      </w:r>
    </w:p>
    <w:p w14:paraId="164E6449">
      <w:pPr>
        <w:pStyle w:val="62"/>
        <w:spacing w:beforeLines="0" w:afterLines="0"/>
        <w:ind w:left="0"/>
        <w:jc w:val="center"/>
        <w:outlineLvl w:val="0"/>
        <w:rPr>
          <w:rFonts w:hint="eastAsia" w:hAnsi="黑体"/>
        </w:rPr>
      </w:pPr>
      <w:bookmarkStart w:id="83" w:name="_Toc175673376"/>
      <w:r>
        <w:rPr>
          <w:rFonts w:hint="eastAsia"/>
          <w:bCs/>
        </w:rPr>
        <w:t>附</w:t>
      </w:r>
      <w:r>
        <w:rPr>
          <w:bCs/>
        </w:rPr>
        <w:t xml:space="preserve">   </w:t>
      </w:r>
      <w:r>
        <w:rPr>
          <w:rFonts w:hint="eastAsia"/>
          <w:bCs/>
        </w:rPr>
        <w:t>录</w:t>
      </w:r>
      <w:r>
        <w:rPr>
          <w:bCs/>
        </w:rPr>
        <w:t xml:space="preserve">   </w:t>
      </w:r>
      <w:r>
        <w:rPr>
          <w:rFonts w:ascii="Times New Roman"/>
          <w:bCs/>
        </w:rPr>
        <w:t>B</w:t>
      </w:r>
      <w:r>
        <w:rPr>
          <w:b/>
          <w:bCs/>
        </w:rPr>
        <w:br w:type="textWrapping"/>
      </w:r>
      <w:r>
        <w:rPr>
          <w:rFonts w:hint="eastAsia" w:hAnsi="黑体"/>
        </w:rPr>
        <w:t>（规范性）</w:t>
      </w:r>
      <w:r>
        <w:rPr>
          <w:rFonts w:hAnsi="黑体"/>
        </w:rPr>
        <w:br w:type="textWrapping"/>
      </w:r>
      <w:r>
        <w:rPr>
          <w:rFonts w:hint="eastAsia" w:hAnsi="黑体"/>
        </w:rPr>
        <w:t>财务实力指标计算方法</w:t>
      </w:r>
      <w:bookmarkEnd w:id="83"/>
    </w:p>
    <w:p w14:paraId="5869F6CC">
      <w:pPr>
        <w:ind w:firstLine="424" w:firstLineChars="202"/>
        <w:rPr>
          <w:rFonts w:eastAsia="黑体"/>
          <w:bCs/>
        </w:rPr>
      </w:pPr>
    </w:p>
    <w:p w14:paraId="742DC560">
      <w:pPr>
        <w:pStyle w:val="131"/>
        <w:spacing w:before="156" w:beforeLines="50" w:after="156" w:afterLines="50"/>
        <w:ind w:left="0"/>
        <w:outlineLvl w:val="9"/>
        <w:rPr>
          <w:rFonts w:hint="eastAsia" w:ascii="黑体" w:hAnsi="黑体" w:eastAsia="黑体" w:cs="黑体"/>
          <w:bCs/>
        </w:rPr>
      </w:pPr>
      <w:bookmarkStart w:id="84" w:name="_Toc141929810"/>
      <w:r>
        <w:rPr>
          <w:rFonts w:ascii="Times New Roman" w:eastAsia="黑体" w:cs="Times New Roman"/>
          <w:bCs/>
        </w:rPr>
        <w:t>B</w:t>
      </w:r>
      <w:r>
        <w:rPr>
          <w:rFonts w:hint="eastAsia" w:ascii="黑体" w:hAnsi="黑体" w:eastAsia="黑体" w:cs="黑体"/>
          <w:bCs/>
        </w:rPr>
        <w:t>.</w:t>
      </w:r>
      <w:r>
        <w:rPr>
          <w:rFonts w:ascii="黑体" w:hAnsi="黑体" w:eastAsia="黑体" w:cs="黑体"/>
          <w:bCs/>
        </w:rPr>
        <w:t xml:space="preserve">1 </w:t>
      </w:r>
      <w:r>
        <w:rPr>
          <w:rFonts w:hint="eastAsia" w:ascii="黑体" w:hAnsi="黑体" w:eastAsia="黑体" w:cs="黑体"/>
          <w:bCs/>
        </w:rPr>
        <w:t xml:space="preserve"> 偿债能力指标计算方法</w:t>
      </w:r>
      <w:bookmarkEnd w:id="84"/>
    </w:p>
    <w:p w14:paraId="1AF9E8D7">
      <w:pPr>
        <w:ind w:firstLine="424" w:firstLineChars="202"/>
        <w:rPr>
          <w:rFonts w:hint="eastAsia" w:ascii="宋体" w:hAnsi="宋体" w:cs="黑体"/>
          <w:bCs/>
          <w:szCs w:val="18"/>
        </w:rPr>
      </w:pPr>
      <w:r>
        <w:rPr>
          <w:rFonts w:ascii="宋体" w:hAnsi="宋体" w:cs="Arial"/>
          <w:szCs w:val="18"/>
          <w:shd w:val="clear" w:color="auto" w:fill="FFFFFF"/>
        </w:rPr>
        <w:t>偿债能力是指</w:t>
      </w:r>
      <w:r>
        <w:rPr>
          <w:rFonts w:hint="eastAsia" w:ascii="宋体" w:hAnsi="宋体"/>
          <w:szCs w:val="18"/>
        </w:rPr>
        <w:t>企业用其资产偿还长期债务和短期债务的能力</w:t>
      </w:r>
      <w:r>
        <w:rPr>
          <w:rFonts w:hint="eastAsia" w:ascii="宋体" w:hAnsi="宋体" w:cs="Arial"/>
          <w:szCs w:val="18"/>
          <w:shd w:val="clear" w:color="auto" w:fill="FFFFFF"/>
        </w:rPr>
        <w:t>。本标准中，该指标</w:t>
      </w:r>
      <w:r>
        <w:rPr>
          <w:rFonts w:hint="eastAsia" w:ascii="宋体" w:hAnsi="宋体" w:cs="黑体"/>
          <w:bCs/>
          <w:szCs w:val="18"/>
        </w:rPr>
        <w:t>主要通过速动比率、资产负债率、</w:t>
      </w:r>
      <w:r>
        <w:rPr>
          <w:rFonts w:hint="eastAsia" w:ascii="宋体" w:hAnsi="宋体"/>
          <w:szCs w:val="18"/>
        </w:rPr>
        <w:t>现金流动负债比率</w:t>
      </w:r>
      <w:r>
        <w:rPr>
          <w:rFonts w:hint="eastAsia" w:ascii="宋体" w:hAnsi="宋体" w:cs="黑体"/>
          <w:bCs/>
          <w:szCs w:val="18"/>
        </w:rPr>
        <w:t>进行评价。其中，速动比率、</w:t>
      </w:r>
      <w:r>
        <w:rPr>
          <w:rFonts w:hint="eastAsia" w:ascii="宋体" w:hAnsi="宋体"/>
          <w:szCs w:val="18"/>
        </w:rPr>
        <w:t>现金流动负债比率</w:t>
      </w:r>
      <w:r>
        <w:rPr>
          <w:rFonts w:hint="eastAsia" w:ascii="宋体" w:hAnsi="宋体" w:cs="黑体"/>
          <w:bCs/>
          <w:szCs w:val="18"/>
        </w:rPr>
        <w:t>代表企业的短期偿债能力，资产负债率代表企业的长期偿债能力。</w:t>
      </w:r>
    </w:p>
    <w:p w14:paraId="0066486A">
      <w:pPr>
        <w:ind w:firstLine="424" w:firstLineChars="202"/>
        <w:rPr>
          <w:rFonts w:hint="eastAsia" w:ascii="宋体" w:hAnsi="宋体"/>
          <w:szCs w:val="18"/>
        </w:rPr>
      </w:pPr>
      <w:r>
        <w:rPr>
          <w:rFonts w:hint="eastAsia" w:ascii="宋体" w:hAnsi="宋体"/>
          <w:szCs w:val="18"/>
        </w:rPr>
        <w:t>速动比率（倍）</w:t>
      </w:r>
      <w:r>
        <w:rPr>
          <w:rFonts w:ascii="宋体" w:hAnsi="宋体"/>
          <w:szCs w:val="18"/>
        </w:rPr>
        <w:t>=</w:t>
      </w:r>
      <w:r>
        <w:rPr>
          <w:rFonts w:hint="eastAsia" w:ascii="宋体" w:hAnsi="宋体"/>
          <w:szCs w:val="18"/>
        </w:rPr>
        <w:t>（流动资产-存货）</w:t>
      </w:r>
      <w:r>
        <w:rPr>
          <w:rFonts w:ascii="宋体" w:hAnsi="宋体"/>
          <w:szCs w:val="18"/>
        </w:rPr>
        <w:t>/</w:t>
      </w:r>
      <w:r>
        <w:rPr>
          <w:rFonts w:hint="eastAsia" w:ascii="宋体" w:hAnsi="宋体"/>
          <w:szCs w:val="18"/>
        </w:rPr>
        <w:t>流动负债</w:t>
      </w:r>
    </w:p>
    <w:p w14:paraId="6EF4C8D8">
      <w:pPr>
        <w:ind w:firstLine="424" w:firstLineChars="202"/>
        <w:rPr>
          <w:rFonts w:hint="eastAsia" w:ascii="宋体" w:hAnsi="宋体"/>
          <w:szCs w:val="18"/>
        </w:rPr>
      </w:pPr>
      <w:r>
        <w:rPr>
          <w:rFonts w:hint="eastAsia" w:ascii="宋体" w:hAnsi="宋体"/>
          <w:szCs w:val="18"/>
        </w:rPr>
        <w:t>资产负债率</w:t>
      </w:r>
      <w:r>
        <w:rPr>
          <w:rFonts w:ascii="宋体" w:hAnsi="宋体"/>
          <w:szCs w:val="18"/>
        </w:rPr>
        <w:t>=</w:t>
      </w:r>
      <w:r>
        <w:rPr>
          <w:rFonts w:hint="eastAsia" w:ascii="宋体" w:hAnsi="宋体"/>
          <w:szCs w:val="18"/>
        </w:rPr>
        <w:t>负债总额</w:t>
      </w:r>
      <w:r>
        <w:rPr>
          <w:rFonts w:ascii="宋体" w:hAnsi="宋体"/>
          <w:szCs w:val="18"/>
        </w:rPr>
        <w:t>/</w:t>
      </w:r>
      <w:r>
        <w:rPr>
          <w:rFonts w:hint="eastAsia" w:ascii="宋体" w:hAnsi="宋体"/>
          <w:szCs w:val="18"/>
        </w:rPr>
        <w:t>资产总额</w:t>
      </w:r>
      <w:r>
        <w:rPr>
          <w:rFonts w:ascii="宋体" w:hAnsi="宋体"/>
          <w:szCs w:val="18"/>
        </w:rPr>
        <w:t>×100%</w:t>
      </w:r>
    </w:p>
    <w:p w14:paraId="3FCA0B78">
      <w:pPr>
        <w:ind w:firstLine="424" w:firstLineChars="202"/>
        <w:rPr>
          <w:rFonts w:hint="eastAsia" w:ascii="宋体" w:hAnsi="宋体"/>
          <w:szCs w:val="18"/>
        </w:rPr>
      </w:pPr>
      <w:r>
        <w:rPr>
          <w:rFonts w:hint="eastAsia" w:ascii="宋体" w:hAnsi="宋体"/>
          <w:szCs w:val="18"/>
        </w:rPr>
        <w:t>现金流动负债比率</w:t>
      </w:r>
      <w:r>
        <w:rPr>
          <w:rFonts w:ascii="宋体" w:hAnsi="宋体"/>
          <w:szCs w:val="18"/>
        </w:rPr>
        <w:t>=</w:t>
      </w:r>
      <w:r>
        <w:rPr>
          <w:rFonts w:hint="eastAsia" w:ascii="宋体" w:hAnsi="宋体"/>
          <w:szCs w:val="18"/>
        </w:rPr>
        <w:t>（经营性现金流量净额÷流动负债)×100%</w:t>
      </w:r>
    </w:p>
    <w:p w14:paraId="4526CC57">
      <w:pPr>
        <w:pStyle w:val="131"/>
        <w:spacing w:before="156" w:beforeLines="50" w:after="156" w:afterLines="50"/>
        <w:ind w:left="0"/>
        <w:outlineLvl w:val="9"/>
        <w:rPr>
          <w:rFonts w:ascii="Times New Roman" w:eastAsia="黑体" w:cs="Times New Roman"/>
          <w:bCs/>
        </w:rPr>
      </w:pPr>
      <w:bookmarkStart w:id="85" w:name="_Toc141929811"/>
      <w:r>
        <w:rPr>
          <w:rFonts w:ascii="Times New Roman" w:eastAsia="黑体" w:cs="Times New Roman"/>
          <w:bCs/>
        </w:rPr>
        <w:t>B</w:t>
      </w:r>
      <w:r>
        <w:rPr>
          <w:rFonts w:hint="eastAsia" w:ascii="Times New Roman" w:eastAsia="黑体" w:cs="Times New Roman"/>
          <w:bCs/>
        </w:rPr>
        <w:t>.</w:t>
      </w:r>
      <w:r>
        <w:rPr>
          <w:rFonts w:ascii="Times New Roman" w:eastAsia="黑体" w:cs="Times New Roman"/>
          <w:bCs/>
        </w:rPr>
        <w:t xml:space="preserve">2 </w:t>
      </w:r>
      <w:r>
        <w:rPr>
          <w:rFonts w:hint="eastAsia" w:ascii="Times New Roman" w:eastAsia="黑体" w:cs="Times New Roman"/>
          <w:bCs/>
        </w:rPr>
        <w:t xml:space="preserve"> 盈利能力指标计算方法</w:t>
      </w:r>
      <w:bookmarkEnd w:id="85"/>
    </w:p>
    <w:p w14:paraId="7C7A05F6">
      <w:pPr>
        <w:ind w:firstLine="424" w:firstLineChars="202"/>
        <w:rPr>
          <w:rFonts w:hint="eastAsia" w:ascii="宋体" w:hAnsi="宋体"/>
        </w:rPr>
      </w:pPr>
      <w:r>
        <w:rPr>
          <w:rFonts w:hint="eastAsia" w:ascii="宋体" w:hAnsi="宋体"/>
        </w:rPr>
        <w:t>盈利能力是指</w:t>
      </w:r>
      <w:r>
        <w:rPr>
          <w:rFonts w:hint="eastAsia" w:ascii="宋体" w:hAnsi="宋体"/>
          <w:szCs w:val="18"/>
        </w:rPr>
        <w:t>企业获取利润的能力</w:t>
      </w:r>
      <w:r>
        <w:rPr>
          <w:szCs w:val="18"/>
        </w:rPr>
        <w:t>‌</w:t>
      </w:r>
      <w:r>
        <w:rPr>
          <w:rFonts w:hint="eastAsia" w:ascii="宋体" w:hAnsi="宋体" w:cs="宋体"/>
          <w:szCs w:val="18"/>
        </w:rPr>
        <w:t>，即资金或资本增值能力</w:t>
      </w:r>
      <w:r>
        <w:rPr>
          <w:rFonts w:hint="eastAsia" w:ascii="宋体" w:hAnsi="宋体"/>
        </w:rPr>
        <w:t>。本标准中，该指标主要通过总资产报酬率、净资产收益率、净利率进行评价。其中，总资产报酬率表示企业全部资产获取收益的水平，净资产收益率可衡量公司对股东投入资本的利用效率，净利率可以体现企业净利润与销售收入的对比关系。</w:t>
      </w:r>
    </w:p>
    <w:p w14:paraId="70439ED5">
      <w:pPr>
        <w:ind w:firstLine="424" w:firstLineChars="202"/>
        <w:rPr>
          <w:rFonts w:hint="eastAsia" w:ascii="宋体" w:hAnsi="宋体"/>
        </w:rPr>
      </w:pPr>
      <w:r>
        <w:rPr>
          <w:rFonts w:hint="eastAsia" w:ascii="宋体" w:hAnsi="宋体"/>
        </w:rPr>
        <w:t>总资产报酬率</w:t>
      </w:r>
      <w:r>
        <w:rPr>
          <w:rFonts w:ascii="宋体" w:hAnsi="宋体"/>
        </w:rPr>
        <w:t>=</w:t>
      </w:r>
      <w:r>
        <w:rPr>
          <w:rFonts w:hint="eastAsia" w:ascii="宋体" w:hAnsi="宋体"/>
        </w:rPr>
        <w:t>利润总额</w:t>
      </w:r>
      <w:r>
        <w:rPr>
          <w:rFonts w:ascii="宋体" w:hAnsi="宋体"/>
        </w:rPr>
        <w:t>/</w:t>
      </w:r>
      <w:r>
        <w:rPr>
          <w:rFonts w:hint="eastAsia" w:ascii="宋体" w:hAnsi="宋体"/>
        </w:rPr>
        <w:t>平均总资产</w:t>
      </w:r>
      <w:r>
        <w:rPr>
          <w:rFonts w:ascii="宋体" w:hAnsi="宋体"/>
        </w:rPr>
        <w:t>×100%</w:t>
      </w:r>
    </w:p>
    <w:p w14:paraId="70CA3722">
      <w:pPr>
        <w:ind w:firstLine="424" w:firstLineChars="202"/>
        <w:rPr>
          <w:rFonts w:hint="eastAsia" w:ascii="宋体" w:hAnsi="宋体"/>
        </w:rPr>
      </w:pPr>
      <w:r>
        <w:rPr>
          <w:rFonts w:hint="eastAsia" w:ascii="宋体" w:hAnsi="宋体"/>
        </w:rPr>
        <w:t>平均总资产</w:t>
      </w:r>
      <w:r>
        <w:rPr>
          <w:rFonts w:ascii="宋体" w:hAnsi="宋体"/>
        </w:rPr>
        <w:t>=(</w:t>
      </w:r>
      <w:r>
        <w:rPr>
          <w:rFonts w:hint="eastAsia" w:ascii="宋体" w:hAnsi="宋体"/>
        </w:rPr>
        <w:t>期初资产总额</w:t>
      </w:r>
      <w:r>
        <w:rPr>
          <w:rFonts w:ascii="宋体" w:hAnsi="宋体"/>
        </w:rPr>
        <w:t>+</w:t>
      </w:r>
      <w:r>
        <w:rPr>
          <w:rFonts w:hint="eastAsia" w:ascii="宋体" w:hAnsi="宋体"/>
        </w:rPr>
        <w:t>期末资产总额</w:t>
      </w:r>
      <w:r>
        <w:rPr>
          <w:rFonts w:ascii="宋体" w:hAnsi="宋体"/>
        </w:rPr>
        <w:t>)/2</w:t>
      </w:r>
    </w:p>
    <w:p w14:paraId="6D3143F1">
      <w:pPr>
        <w:ind w:firstLine="424" w:firstLineChars="202"/>
        <w:rPr>
          <w:rFonts w:hint="eastAsia" w:ascii="宋体" w:hAnsi="宋体"/>
        </w:rPr>
      </w:pPr>
      <w:r>
        <w:rPr>
          <w:rFonts w:hint="eastAsia" w:ascii="宋体" w:hAnsi="宋体"/>
        </w:rPr>
        <w:t>净资产收益率</w:t>
      </w:r>
      <w:r>
        <w:rPr>
          <w:rFonts w:ascii="宋体" w:hAnsi="宋体"/>
        </w:rPr>
        <w:t>=</w:t>
      </w:r>
      <w:r>
        <w:rPr>
          <w:rFonts w:hint="eastAsia" w:ascii="宋体" w:hAnsi="宋体"/>
        </w:rPr>
        <w:t>净利润</w:t>
      </w:r>
      <w:r>
        <w:rPr>
          <w:rFonts w:ascii="宋体" w:hAnsi="宋体"/>
        </w:rPr>
        <w:t>/</w:t>
      </w:r>
      <w:r>
        <w:rPr>
          <w:rFonts w:hint="eastAsia" w:ascii="宋体" w:hAnsi="宋体"/>
        </w:rPr>
        <w:t>平均净资产</w:t>
      </w:r>
      <w:r>
        <w:rPr>
          <w:rFonts w:ascii="宋体" w:hAnsi="宋体"/>
        </w:rPr>
        <w:t xml:space="preserve">×100% </w:t>
      </w:r>
    </w:p>
    <w:p w14:paraId="16086A6A">
      <w:pPr>
        <w:ind w:firstLine="424" w:firstLineChars="202"/>
        <w:rPr>
          <w:rFonts w:hint="eastAsia" w:ascii="宋体" w:hAnsi="宋体"/>
        </w:rPr>
      </w:pPr>
      <w:r>
        <w:rPr>
          <w:rFonts w:hint="eastAsia" w:ascii="宋体" w:hAnsi="宋体"/>
        </w:rPr>
        <w:t>平均净资产</w:t>
      </w:r>
      <w:r>
        <w:rPr>
          <w:rFonts w:ascii="宋体" w:hAnsi="宋体"/>
        </w:rPr>
        <w:t>=(</w:t>
      </w:r>
      <w:r>
        <w:rPr>
          <w:rFonts w:hint="eastAsia" w:ascii="宋体" w:hAnsi="宋体"/>
        </w:rPr>
        <w:t>期初净资产</w:t>
      </w:r>
      <w:r>
        <w:rPr>
          <w:rFonts w:ascii="宋体" w:hAnsi="宋体"/>
        </w:rPr>
        <w:t>+</w:t>
      </w:r>
      <w:r>
        <w:rPr>
          <w:rFonts w:hint="eastAsia" w:ascii="宋体" w:hAnsi="宋体"/>
        </w:rPr>
        <w:t>期末净资产</w:t>
      </w:r>
      <w:r>
        <w:rPr>
          <w:rFonts w:ascii="宋体" w:hAnsi="宋体"/>
        </w:rPr>
        <w:t>)/2</w:t>
      </w:r>
    </w:p>
    <w:p w14:paraId="5BE733B5">
      <w:pPr>
        <w:ind w:firstLine="424" w:firstLineChars="202"/>
        <w:rPr>
          <w:rFonts w:hint="eastAsia" w:ascii="宋体" w:hAnsi="宋体"/>
        </w:rPr>
      </w:pPr>
      <w:r>
        <w:rPr>
          <w:rFonts w:hint="eastAsia" w:ascii="宋体" w:hAnsi="宋体"/>
        </w:rPr>
        <w:t>净利率</w:t>
      </w:r>
      <w:r>
        <w:rPr>
          <w:rFonts w:ascii="宋体" w:hAnsi="宋体"/>
        </w:rPr>
        <w:t>=</w:t>
      </w:r>
      <w:r>
        <w:rPr>
          <w:rFonts w:hint="eastAsia" w:ascii="宋体" w:hAnsi="宋体"/>
        </w:rPr>
        <w:t>净利润</w:t>
      </w:r>
      <w:r>
        <w:rPr>
          <w:rFonts w:ascii="宋体" w:hAnsi="宋体"/>
        </w:rPr>
        <w:t>/</w:t>
      </w:r>
      <w:r>
        <w:rPr>
          <w:rFonts w:hint="eastAsia" w:ascii="宋体" w:hAnsi="宋体"/>
        </w:rPr>
        <w:t>营业收入</w:t>
      </w:r>
      <w:r>
        <w:rPr>
          <w:rFonts w:ascii="宋体" w:hAnsi="宋体"/>
        </w:rPr>
        <w:t>×100%</w:t>
      </w:r>
    </w:p>
    <w:p w14:paraId="4FB7805E">
      <w:pPr>
        <w:pStyle w:val="131"/>
        <w:spacing w:before="156" w:beforeLines="50" w:after="156" w:afterLines="50"/>
        <w:ind w:left="0"/>
        <w:outlineLvl w:val="9"/>
        <w:rPr>
          <w:rFonts w:ascii="Times New Roman" w:eastAsia="黑体" w:cs="Times New Roman"/>
          <w:bCs/>
        </w:rPr>
      </w:pPr>
      <w:bookmarkStart w:id="86" w:name="_Toc141929812"/>
      <w:r>
        <w:rPr>
          <w:rFonts w:ascii="Times New Roman" w:eastAsia="黑体" w:cs="Times New Roman"/>
          <w:bCs/>
        </w:rPr>
        <w:t>B</w:t>
      </w:r>
      <w:r>
        <w:rPr>
          <w:rFonts w:hint="eastAsia" w:ascii="Times New Roman" w:eastAsia="黑体" w:cs="Times New Roman"/>
          <w:bCs/>
        </w:rPr>
        <w:t>.</w:t>
      </w:r>
      <w:r>
        <w:rPr>
          <w:rFonts w:ascii="Times New Roman" w:eastAsia="黑体" w:cs="Times New Roman"/>
          <w:bCs/>
        </w:rPr>
        <w:t xml:space="preserve">3 </w:t>
      </w:r>
      <w:r>
        <w:rPr>
          <w:rFonts w:hint="eastAsia" w:ascii="Times New Roman" w:eastAsia="黑体" w:cs="Times New Roman"/>
          <w:bCs/>
        </w:rPr>
        <w:t xml:space="preserve"> 营运能力指标计算方法</w:t>
      </w:r>
      <w:bookmarkEnd w:id="86"/>
    </w:p>
    <w:p w14:paraId="4DC47947">
      <w:pPr>
        <w:ind w:firstLine="424" w:firstLineChars="202"/>
        <w:rPr>
          <w:rFonts w:hint="eastAsia" w:ascii="宋体" w:hAnsi="宋体"/>
        </w:rPr>
      </w:pPr>
      <w:r>
        <w:rPr>
          <w:rFonts w:hint="eastAsia" w:ascii="宋体" w:hAnsi="宋体"/>
        </w:rPr>
        <w:t>营运能力是指</w:t>
      </w:r>
      <w:r>
        <w:rPr>
          <w:rFonts w:hint="eastAsia" w:ascii="宋体" w:hAnsi="宋体"/>
          <w:szCs w:val="18"/>
        </w:rPr>
        <w:t>企业运用各项资产以赚取利润的能力</w:t>
      </w:r>
      <w:r>
        <w:rPr>
          <w:rFonts w:hint="eastAsia" w:ascii="宋体" w:hAnsi="宋体"/>
        </w:rPr>
        <w:t>。本标准中，该指标主要通过总资产周转率、应收账款周转率、存货周转率进行评价。其中，总资产周转率代表一定时期营业收入与平均总资产的比率，应收账款周转率反映企业应收账款变现速度的快慢和管理效率的高低，存货周转率是用于反映存货的周转速度。</w:t>
      </w:r>
    </w:p>
    <w:p w14:paraId="056D7E8D">
      <w:pPr>
        <w:ind w:firstLine="424" w:firstLineChars="202"/>
        <w:rPr>
          <w:rFonts w:hint="eastAsia" w:ascii="宋体" w:hAnsi="宋体"/>
        </w:rPr>
      </w:pPr>
      <w:r>
        <w:rPr>
          <w:rFonts w:hint="eastAsia" w:ascii="宋体" w:hAnsi="宋体"/>
        </w:rPr>
        <w:t>总资产周转率（次）</w:t>
      </w:r>
      <w:r>
        <w:rPr>
          <w:rFonts w:ascii="宋体" w:hAnsi="宋体"/>
        </w:rPr>
        <w:t>=</w:t>
      </w:r>
      <w:r>
        <w:rPr>
          <w:rFonts w:hint="eastAsia" w:ascii="宋体" w:hAnsi="宋体"/>
        </w:rPr>
        <w:t>营业收入</w:t>
      </w:r>
      <w:r>
        <w:rPr>
          <w:rFonts w:ascii="宋体" w:hAnsi="宋体"/>
        </w:rPr>
        <w:t>/</w:t>
      </w:r>
      <w:r>
        <w:rPr>
          <w:rFonts w:hint="eastAsia" w:ascii="宋体" w:hAnsi="宋体"/>
        </w:rPr>
        <w:t>平均总资产×</w:t>
      </w:r>
      <w:r>
        <w:rPr>
          <w:rFonts w:ascii="宋体" w:hAnsi="宋体"/>
        </w:rPr>
        <w:t>100%</w:t>
      </w:r>
    </w:p>
    <w:p w14:paraId="549C8DF6">
      <w:pPr>
        <w:ind w:firstLine="424" w:firstLineChars="202"/>
        <w:rPr>
          <w:rFonts w:hint="eastAsia" w:ascii="宋体" w:hAnsi="宋体"/>
        </w:rPr>
      </w:pPr>
      <w:r>
        <w:rPr>
          <w:rFonts w:hint="eastAsia" w:ascii="宋体" w:hAnsi="宋体"/>
        </w:rPr>
        <w:t>平均总资产</w:t>
      </w:r>
      <w:r>
        <w:rPr>
          <w:rFonts w:ascii="宋体" w:hAnsi="宋体"/>
        </w:rPr>
        <w:t>=(</w:t>
      </w:r>
      <w:r>
        <w:rPr>
          <w:rFonts w:hint="eastAsia" w:ascii="宋体" w:hAnsi="宋体"/>
        </w:rPr>
        <w:t>期初资产总额</w:t>
      </w:r>
      <w:r>
        <w:rPr>
          <w:rFonts w:ascii="宋体" w:hAnsi="宋体"/>
        </w:rPr>
        <w:t>+</w:t>
      </w:r>
      <w:r>
        <w:rPr>
          <w:rFonts w:hint="eastAsia" w:ascii="宋体" w:hAnsi="宋体"/>
        </w:rPr>
        <w:t>期末资产总额</w:t>
      </w:r>
      <w:r>
        <w:rPr>
          <w:rFonts w:ascii="宋体" w:hAnsi="宋体"/>
        </w:rPr>
        <w:t>)/2</w:t>
      </w:r>
    </w:p>
    <w:p w14:paraId="14FEECB0">
      <w:pPr>
        <w:ind w:firstLine="424" w:firstLineChars="202"/>
        <w:rPr>
          <w:rFonts w:hint="eastAsia" w:ascii="宋体" w:hAnsi="宋体"/>
        </w:rPr>
      </w:pPr>
      <w:r>
        <w:rPr>
          <w:rFonts w:hint="eastAsia" w:ascii="宋体" w:hAnsi="宋体"/>
        </w:rPr>
        <w:t>应收账款周转率（次）</w:t>
      </w:r>
      <w:r>
        <w:rPr>
          <w:rFonts w:ascii="宋体" w:hAnsi="宋体"/>
        </w:rPr>
        <w:t>=</w:t>
      </w:r>
      <w:r>
        <w:rPr>
          <w:rFonts w:hint="eastAsia" w:ascii="宋体" w:hAnsi="宋体"/>
        </w:rPr>
        <w:t>营业收入</w:t>
      </w:r>
      <w:r>
        <w:rPr>
          <w:rFonts w:ascii="宋体" w:hAnsi="宋体"/>
        </w:rPr>
        <w:t>/</w:t>
      </w:r>
      <w:r>
        <w:rPr>
          <w:rFonts w:hint="eastAsia" w:ascii="宋体" w:hAnsi="宋体"/>
        </w:rPr>
        <w:t>应收账款平均余额</w:t>
      </w:r>
    </w:p>
    <w:p w14:paraId="2A0679AA">
      <w:pPr>
        <w:ind w:firstLine="424" w:firstLineChars="202"/>
        <w:rPr>
          <w:rFonts w:hint="eastAsia" w:ascii="宋体" w:hAnsi="宋体"/>
        </w:rPr>
      </w:pPr>
      <w:r>
        <w:rPr>
          <w:rFonts w:hint="eastAsia" w:ascii="宋体" w:hAnsi="宋体"/>
        </w:rPr>
        <w:t>应收账款平均余额=</w:t>
      </w:r>
      <w:r>
        <w:rPr>
          <w:rFonts w:ascii="宋体" w:hAnsi="宋体"/>
        </w:rPr>
        <w:t>(</w:t>
      </w:r>
      <w:r>
        <w:rPr>
          <w:rFonts w:hint="eastAsia" w:ascii="宋体" w:hAnsi="宋体"/>
        </w:rPr>
        <w:t>期初应收账款</w:t>
      </w:r>
      <w:r>
        <w:rPr>
          <w:rFonts w:ascii="宋体" w:hAnsi="宋体"/>
        </w:rPr>
        <w:t>+</w:t>
      </w:r>
      <w:r>
        <w:rPr>
          <w:rFonts w:hint="eastAsia" w:ascii="宋体" w:hAnsi="宋体"/>
        </w:rPr>
        <w:t>期末应收账款</w:t>
      </w:r>
      <w:r>
        <w:rPr>
          <w:rFonts w:ascii="宋体" w:hAnsi="宋体"/>
        </w:rPr>
        <w:t>)/2</w:t>
      </w:r>
    </w:p>
    <w:p w14:paraId="12CAD902">
      <w:pPr>
        <w:ind w:firstLine="424" w:firstLineChars="202"/>
        <w:rPr>
          <w:rFonts w:hint="eastAsia" w:ascii="宋体" w:hAnsi="宋体"/>
        </w:rPr>
      </w:pPr>
      <w:r>
        <w:rPr>
          <w:rFonts w:hint="eastAsia" w:ascii="宋体" w:hAnsi="宋体"/>
        </w:rPr>
        <w:t>存货周转率（次）</w:t>
      </w:r>
      <w:r>
        <w:rPr>
          <w:rFonts w:ascii="宋体" w:hAnsi="宋体"/>
        </w:rPr>
        <w:t>=</w:t>
      </w:r>
      <w:r>
        <w:rPr>
          <w:rFonts w:hint="eastAsia" w:ascii="宋体" w:hAnsi="宋体"/>
        </w:rPr>
        <w:t>营业成本</w:t>
      </w:r>
      <w:r>
        <w:rPr>
          <w:rFonts w:ascii="宋体" w:hAnsi="宋体"/>
        </w:rPr>
        <w:t>/</w:t>
      </w:r>
      <w:r>
        <w:rPr>
          <w:rFonts w:hint="eastAsia" w:ascii="宋体" w:hAnsi="宋体"/>
        </w:rPr>
        <w:t>存货平均余额</w:t>
      </w:r>
    </w:p>
    <w:p w14:paraId="352AEE7F">
      <w:pPr>
        <w:ind w:firstLine="424" w:firstLineChars="202"/>
        <w:rPr>
          <w:rFonts w:hint="eastAsia" w:ascii="宋体" w:hAnsi="宋体"/>
        </w:rPr>
      </w:pPr>
      <w:r>
        <w:rPr>
          <w:rFonts w:hint="eastAsia" w:ascii="宋体" w:hAnsi="宋体"/>
        </w:rPr>
        <w:t>存货平均余额=（期初存货+期末存货）/2</w:t>
      </w:r>
    </w:p>
    <w:p w14:paraId="0AF3D6A1">
      <w:pPr>
        <w:pStyle w:val="131"/>
        <w:spacing w:before="156" w:beforeLines="50" w:after="156" w:afterLines="50"/>
        <w:ind w:left="0"/>
        <w:outlineLvl w:val="9"/>
        <w:rPr>
          <w:rFonts w:ascii="Times New Roman" w:eastAsia="黑体" w:cs="Times New Roman"/>
          <w:bCs/>
        </w:rPr>
      </w:pPr>
      <w:bookmarkStart w:id="87" w:name="_Toc141929813"/>
      <w:r>
        <w:rPr>
          <w:rFonts w:ascii="Times New Roman" w:eastAsia="黑体" w:cs="Times New Roman"/>
          <w:bCs/>
        </w:rPr>
        <w:t>B</w:t>
      </w:r>
      <w:r>
        <w:rPr>
          <w:rFonts w:hint="eastAsia" w:ascii="Times New Roman" w:eastAsia="黑体" w:cs="Times New Roman"/>
          <w:bCs/>
        </w:rPr>
        <w:t>.</w:t>
      </w:r>
      <w:r>
        <w:rPr>
          <w:rFonts w:ascii="Times New Roman" w:eastAsia="黑体" w:cs="Times New Roman"/>
          <w:bCs/>
        </w:rPr>
        <w:t xml:space="preserve">4 </w:t>
      </w:r>
      <w:r>
        <w:rPr>
          <w:rFonts w:hint="eastAsia" w:ascii="Times New Roman" w:eastAsia="黑体" w:cs="Times New Roman"/>
          <w:bCs/>
        </w:rPr>
        <w:t xml:space="preserve"> 发展能力指标计算方法</w:t>
      </w:r>
      <w:bookmarkEnd w:id="87"/>
    </w:p>
    <w:p w14:paraId="477D9B1B">
      <w:pPr>
        <w:ind w:firstLine="424" w:firstLineChars="202"/>
        <w:rPr>
          <w:rFonts w:hint="eastAsia" w:ascii="宋体" w:hAnsi="宋体"/>
        </w:rPr>
      </w:pPr>
      <w:r>
        <w:rPr>
          <w:rFonts w:hint="eastAsia" w:ascii="宋体" w:hAnsi="宋体"/>
        </w:rPr>
        <w:t>发展能力是指</w:t>
      </w:r>
      <w:r>
        <w:rPr>
          <w:rFonts w:hint="eastAsia" w:ascii="宋体" w:hAnsi="宋体"/>
          <w:szCs w:val="18"/>
        </w:rPr>
        <w:t>企业发展壮大的潜在能力</w:t>
      </w:r>
      <w:r>
        <w:rPr>
          <w:rFonts w:hint="eastAsia" w:ascii="MS Gothic" w:hAnsi="MS Gothic" w:cs="MS Gothic"/>
        </w:rPr>
        <w:t>。本标准中，该指标</w:t>
      </w:r>
      <w:r>
        <w:rPr>
          <w:rFonts w:hint="eastAsia" w:ascii="宋体" w:hAnsi="宋体"/>
        </w:rPr>
        <w:t>主要通过总资产增长率、净资产增长率、营业收入增长率进行评价。其中，总资产增长率反映企业本期资产规模的增长情况，净资产增长率反映了企业资本规模的扩张速度，营业收入增长率是衡量企业经营状况和市场占有能力、预测企业经营业务拓展趋势的重要标志。</w:t>
      </w:r>
    </w:p>
    <w:p w14:paraId="38B432A0">
      <w:pPr>
        <w:ind w:firstLine="424" w:firstLineChars="202"/>
        <w:rPr>
          <w:rFonts w:hint="eastAsia" w:ascii="宋体" w:hAnsi="宋体"/>
        </w:rPr>
      </w:pPr>
      <w:r>
        <w:rPr>
          <w:rFonts w:hint="eastAsia" w:ascii="宋体" w:hAnsi="宋体"/>
        </w:rPr>
        <w:t>总资产增长率</w:t>
      </w:r>
      <w:r>
        <w:rPr>
          <w:rFonts w:ascii="宋体" w:hAnsi="宋体"/>
        </w:rPr>
        <w:t>=(</w:t>
      </w:r>
      <w:r>
        <w:rPr>
          <w:rFonts w:hint="eastAsia" w:ascii="宋体" w:hAnsi="宋体"/>
        </w:rPr>
        <w:t>期末资产总额</w:t>
      </w:r>
      <w:r>
        <w:rPr>
          <w:rFonts w:ascii="宋体" w:hAnsi="宋体"/>
        </w:rPr>
        <w:t>-</w:t>
      </w:r>
      <w:r>
        <w:rPr>
          <w:rFonts w:hint="eastAsia" w:ascii="宋体" w:hAnsi="宋体"/>
        </w:rPr>
        <w:t>期初资产总额</w:t>
      </w:r>
      <w:r>
        <w:rPr>
          <w:rFonts w:ascii="宋体" w:hAnsi="宋体"/>
        </w:rPr>
        <w:t>)/</w:t>
      </w:r>
      <w:r>
        <w:rPr>
          <w:rFonts w:hint="eastAsia" w:ascii="宋体" w:hAnsi="宋体"/>
        </w:rPr>
        <w:t>期初资产总额</w:t>
      </w:r>
      <w:r>
        <w:rPr>
          <w:rFonts w:ascii="宋体" w:hAnsi="宋体"/>
        </w:rPr>
        <w:t>×100%</w:t>
      </w:r>
    </w:p>
    <w:p w14:paraId="7406F977">
      <w:pPr>
        <w:ind w:firstLine="424" w:firstLineChars="202"/>
        <w:rPr>
          <w:rFonts w:hint="eastAsia" w:ascii="宋体" w:hAnsi="宋体"/>
        </w:rPr>
      </w:pPr>
      <w:r>
        <w:rPr>
          <w:rFonts w:hint="eastAsia" w:ascii="宋体" w:hAnsi="宋体"/>
        </w:rPr>
        <w:t>净资产增长率</w:t>
      </w:r>
      <w:r>
        <w:rPr>
          <w:rFonts w:ascii="宋体" w:hAnsi="宋体"/>
        </w:rPr>
        <w:t>=(</w:t>
      </w:r>
      <w:r>
        <w:rPr>
          <w:rFonts w:hint="eastAsia" w:ascii="宋体" w:hAnsi="宋体"/>
        </w:rPr>
        <w:t>期末净资产</w:t>
      </w:r>
      <w:r>
        <w:rPr>
          <w:rFonts w:ascii="宋体" w:hAnsi="宋体"/>
        </w:rPr>
        <w:t>-</w:t>
      </w:r>
      <w:r>
        <w:rPr>
          <w:rFonts w:hint="eastAsia" w:ascii="宋体" w:hAnsi="宋体"/>
        </w:rPr>
        <w:t>期初净资产</w:t>
      </w:r>
      <w:r>
        <w:rPr>
          <w:rFonts w:ascii="宋体" w:hAnsi="宋体"/>
        </w:rPr>
        <w:t>)/</w:t>
      </w:r>
      <w:r>
        <w:rPr>
          <w:rFonts w:hint="eastAsia" w:ascii="宋体" w:hAnsi="宋体"/>
        </w:rPr>
        <w:t>期初净资产</w:t>
      </w:r>
      <w:r>
        <w:rPr>
          <w:rFonts w:ascii="宋体" w:hAnsi="宋体"/>
        </w:rPr>
        <w:t>×100%</w:t>
      </w:r>
    </w:p>
    <w:p w14:paraId="4A9D4629">
      <w:pPr>
        <w:ind w:firstLine="424" w:firstLineChars="202"/>
        <w:rPr>
          <w:rFonts w:hint="eastAsia" w:ascii="宋体" w:hAnsi="宋体"/>
        </w:rPr>
      </w:pPr>
      <w:r>
        <w:rPr>
          <w:rFonts w:hint="eastAsia" w:ascii="宋体" w:hAnsi="宋体"/>
        </w:rPr>
        <w:t>营业收入增长率</w:t>
      </w:r>
      <w:r>
        <w:rPr>
          <w:rFonts w:ascii="宋体" w:hAnsi="宋体"/>
        </w:rPr>
        <w:t>=(</w:t>
      </w:r>
      <w:r>
        <w:rPr>
          <w:rFonts w:hint="eastAsia" w:ascii="宋体" w:hAnsi="宋体"/>
        </w:rPr>
        <w:t>本期营业收入</w:t>
      </w:r>
      <w:r>
        <w:rPr>
          <w:rFonts w:ascii="宋体" w:hAnsi="宋体"/>
        </w:rPr>
        <w:t>-</w:t>
      </w:r>
      <w:r>
        <w:rPr>
          <w:rFonts w:hint="eastAsia" w:ascii="宋体" w:hAnsi="宋体"/>
        </w:rPr>
        <w:t>上期营业收入</w:t>
      </w:r>
      <w:r>
        <w:rPr>
          <w:rFonts w:ascii="宋体" w:hAnsi="宋体"/>
        </w:rPr>
        <w:t>)/</w:t>
      </w:r>
      <w:r>
        <w:rPr>
          <w:rFonts w:hint="eastAsia" w:ascii="宋体" w:hAnsi="宋体"/>
        </w:rPr>
        <w:t>上期营业收入</w:t>
      </w:r>
      <w:r>
        <w:rPr>
          <w:rFonts w:ascii="宋体" w:hAnsi="宋体"/>
        </w:rPr>
        <w:t>×100%</w:t>
      </w:r>
    </w:p>
    <w:p w14:paraId="0E997D85">
      <w:pPr>
        <w:pStyle w:val="57"/>
        <w:ind w:firstLine="0" w:firstLineChars="0"/>
      </w:pPr>
    </w:p>
    <w:p w14:paraId="31711D00">
      <w:pPr>
        <w:pStyle w:val="62"/>
        <w:spacing w:beforeLines="0" w:afterLines="0"/>
        <w:ind w:left="0"/>
        <w:jc w:val="center"/>
        <w:outlineLvl w:val="0"/>
        <w:rPr>
          <w:rFonts w:hint="eastAsia" w:hAnsi="黑体"/>
        </w:rPr>
      </w:pPr>
      <w:r>
        <w:rPr>
          <w:b/>
          <w:bCs/>
        </w:rPr>
        <w:br w:type="page"/>
      </w:r>
      <w:bookmarkStart w:id="88" w:name="_Toc175673377"/>
      <w:r>
        <w:rPr>
          <w:rFonts w:hint="eastAsia"/>
          <w:bCs/>
        </w:rPr>
        <w:t>附</w:t>
      </w:r>
      <w:r>
        <w:rPr>
          <w:bCs/>
        </w:rPr>
        <w:t xml:space="preserve">   </w:t>
      </w:r>
      <w:r>
        <w:rPr>
          <w:rFonts w:hint="eastAsia"/>
          <w:bCs/>
        </w:rPr>
        <w:t>录</w:t>
      </w:r>
      <w:r>
        <w:rPr>
          <w:bCs/>
        </w:rPr>
        <w:t xml:space="preserve">   </w:t>
      </w:r>
      <w:r>
        <w:rPr>
          <w:rFonts w:ascii="Times New Roman"/>
          <w:bCs/>
        </w:rPr>
        <w:t>C</w:t>
      </w:r>
      <w:r>
        <w:rPr>
          <w:bCs/>
        </w:rPr>
        <w:br w:type="textWrapping"/>
      </w:r>
      <w:r>
        <w:rPr>
          <w:rFonts w:hint="eastAsia" w:hAnsi="黑体"/>
        </w:rPr>
        <w:t>（规范性）</w:t>
      </w:r>
      <w:r>
        <w:rPr>
          <w:rFonts w:hAnsi="黑体"/>
        </w:rPr>
        <w:br w:type="textWrapping"/>
      </w:r>
      <w:r>
        <w:rPr>
          <w:rFonts w:hint="eastAsia" w:hAnsi="黑体"/>
        </w:rPr>
        <w:t>评价等级划分细则</w:t>
      </w:r>
      <w:bookmarkEnd w:id="88"/>
    </w:p>
    <w:p w14:paraId="5B725FFE">
      <w:pPr>
        <w:pStyle w:val="57"/>
        <w:ind w:left="420" w:firstLine="0" w:firstLineChars="0"/>
      </w:pPr>
    </w:p>
    <w:p w14:paraId="4DD968B1">
      <w:pPr>
        <w:ind w:firstLine="420" w:firstLineChars="200"/>
      </w:pPr>
      <w:bookmarkStart w:id="89" w:name="_Toc141929815"/>
      <w:r>
        <w:t>C</w:t>
      </w:r>
      <w:r>
        <w:rPr>
          <w:rFonts w:hint="eastAsia"/>
        </w:rPr>
        <w:t>.1  砂石企业信用等级评价划分细则见表</w:t>
      </w:r>
      <w:r>
        <w:t>C</w:t>
      </w:r>
      <w:r>
        <w:rPr>
          <w:rFonts w:hint="eastAsia"/>
        </w:rPr>
        <w:t>.1。</w:t>
      </w:r>
      <w:bookmarkEnd w:id="89"/>
    </w:p>
    <w:p w14:paraId="28922AD7">
      <w:pPr>
        <w:spacing w:before="156" w:beforeLines="50" w:after="156" w:afterLines="50"/>
        <w:jc w:val="center"/>
        <w:rPr>
          <w:rFonts w:hint="eastAsia" w:ascii="黑体" w:hAnsi="黑体" w:eastAsia="黑体"/>
        </w:rPr>
      </w:pPr>
      <w:bookmarkStart w:id="90" w:name="_Toc141929816"/>
      <w:r>
        <w:rPr>
          <w:rFonts w:hint="eastAsia" w:ascii="黑体" w:hAnsi="黑体" w:eastAsia="黑体"/>
        </w:rPr>
        <w:t>表</w:t>
      </w:r>
      <w:r>
        <w:rPr>
          <w:rFonts w:ascii="黑体" w:hAnsi="黑体" w:eastAsia="黑体"/>
        </w:rPr>
        <w:t>C</w:t>
      </w:r>
      <w:r>
        <w:rPr>
          <w:rFonts w:hint="eastAsia" w:ascii="黑体" w:hAnsi="黑体" w:eastAsia="黑体"/>
        </w:rPr>
        <w:t>.1  砂石企业信用等级评价划分细则表</w:t>
      </w:r>
      <w:bookmarkEnd w:id="90"/>
    </w:p>
    <w:tbl>
      <w:tblPr>
        <w:tblStyle w:val="33"/>
        <w:tblW w:w="935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196"/>
        <w:gridCol w:w="1693"/>
        <w:gridCol w:w="6467"/>
      </w:tblGrid>
      <w:tr w14:paraId="72EBD95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0" w:hRule="atLeast"/>
          <w:jc w:val="center"/>
        </w:trPr>
        <w:tc>
          <w:tcPr>
            <w:tcW w:w="1196" w:type="dxa"/>
            <w:vMerge w:val="restart"/>
            <w:vAlign w:val="center"/>
          </w:tcPr>
          <w:p w14:paraId="0A823A19">
            <w:pPr>
              <w:jc w:val="center"/>
              <w:rPr>
                <w:rFonts w:hint="eastAsia" w:ascii="宋体" w:hAnsi="宋体"/>
                <w:sz w:val="18"/>
                <w:szCs w:val="18"/>
              </w:rPr>
            </w:pPr>
            <w:r>
              <w:rPr>
                <w:rFonts w:hint="eastAsia" w:ascii="宋体" w:hAnsi="宋体"/>
                <w:sz w:val="18"/>
                <w:szCs w:val="18"/>
              </w:rPr>
              <w:t>信用等级</w:t>
            </w:r>
          </w:p>
        </w:tc>
        <w:tc>
          <w:tcPr>
            <w:tcW w:w="1693" w:type="dxa"/>
            <w:vMerge w:val="restart"/>
            <w:vAlign w:val="center"/>
          </w:tcPr>
          <w:p w14:paraId="40FB8934">
            <w:pPr>
              <w:pStyle w:val="57"/>
              <w:ind w:firstLine="0" w:firstLineChars="0"/>
              <w:jc w:val="center"/>
              <w:rPr>
                <w:rFonts w:hint="eastAsia" w:hAnsi="宋体"/>
                <w:sz w:val="18"/>
                <w:szCs w:val="18"/>
              </w:rPr>
            </w:pPr>
            <w:r>
              <w:rPr>
                <w:rFonts w:hint="eastAsia" w:hAnsi="宋体"/>
                <w:sz w:val="18"/>
                <w:szCs w:val="18"/>
              </w:rPr>
              <w:t>计分区间</w:t>
            </w:r>
          </w:p>
        </w:tc>
        <w:tc>
          <w:tcPr>
            <w:tcW w:w="6467" w:type="dxa"/>
            <w:vMerge w:val="restart"/>
            <w:vAlign w:val="center"/>
          </w:tcPr>
          <w:p w14:paraId="0CCB6B9B">
            <w:pPr>
              <w:pStyle w:val="57"/>
              <w:ind w:left="29" w:firstLine="0" w:firstLineChars="0"/>
              <w:jc w:val="center"/>
              <w:rPr>
                <w:rFonts w:hint="eastAsia" w:hAnsi="宋体"/>
                <w:sz w:val="18"/>
                <w:szCs w:val="18"/>
              </w:rPr>
            </w:pPr>
            <w:r>
              <w:rPr>
                <w:rFonts w:hint="eastAsia" w:hAnsi="宋体"/>
                <w:sz w:val="18"/>
                <w:szCs w:val="18"/>
              </w:rPr>
              <w:t>释义</w:t>
            </w:r>
          </w:p>
        </w:tc>
      </w:tr>
      <w:tr w14:paraId="5DF5879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2" w:hRule="atLeast"/>
          <w:jc w:val="center"/>
        </w:trPr>
        <w:tc>
          <w:tcPr>
            <w:tcW w:w="1196" w:type="dxa"/>
            <w:vMerge w:val="continue"/>
            <w:vAlign w:val="center"/>
          </w:tcPr>
          <w:p w14:paraId="5CFEF6F7">
            <w:pPr>
              <w:jc w:val="center"/>
              <w:rPr>
                <w:rFonts w:hint="eastAsia" w:ascii="宋体" w:hAnsi="宋体"/>
                <w:sz w:val="18"/>
                <w:szCs w:val="18"/>
              </w:rPr>
            </w:pPr>
          </w:p>
        </w:tc>
        <w:tc>
          <w:tcPr>
            <w:tcW w:w="1693" w:type="dxa"/>
            <w:vMerge w:val="continue"/>
          </w:tcPr>
          <w:p w14:paraId="3C553979">
            <w:pPr>
              <w:jc w:val="center"/>
              <w:rPr>
                <w:rFonts w:hint="eastAsia" w:ascii="宋体" w:hAnsi="宋体"/>
                <w:sz w:val="18"/>
                <w:szCs w:val="18"/>
              </w:rPr>
            </w:pPr>
          </w:p>
        </w:tc>
        <w:tc>
          <w:tcPr>
            <w:tcW w:w="6467" w:type="dxa"/>
            <w:vMerge w:val="continue"/>
            <w:vAlign w:val="center"/>
          </w:tcPr>
          <w:p w14:paraId="2C8AA555">
            <w:pPr>
              <w:pStyle w:val="57"/>
              <w:ind w:firstLine="0" w:firstLineChars="0"/>
              <w:jc w:val="center"/>
              <w:rPr>
                <w:rFonts w:hint="eastAsia" w:hAnsi="宋体"/>
                <w:sz w:val="18"/>
                <w:szCs w:val="18"/>
              </w:rPr>
            </w:pPr>
          </w:p>
        </w:tc>
      </w:tr>
      <w:tr w14:paraId="2521752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4" w:hRule="atLeast"/>
          <w:jc w:val="center"/>
        </w:trPr>
        <w:tc>
          <w:tcPr>
            <w:tcW w:w="1196" w:type="dxa"/>
            <w:vAlign w:val="center"/>
          </w:tcPr>
          <w:p w14:paraId="2F5EAFC7">
            <w:pPr>
              <w:jc w:val="center"/>
              <w:rPr>
                <w:rFonts w:hint="eastAsia" w:ascii="宋体" w:hAnsi="宋体"/>
                <w:sz w:val="18"/>
                <w:szCs w:val="18"/>
              </w:rPr>
            </w:pPr>
            <w:r>
              <w:rPr>
                <w:sz w:val="18"/>
                <w:szCs w:val="18"/>
              </w:rPr>
              <w:t>AAA</w:t>
            </w:r>
          </w:p>
        </w:tc>
        <w:tc>
          <w:tcPr>
            <w:tcW w:w="1693" w:type="dxa"/>
            <w:vAlign w:val="center"/>
          </w:tcPr>
          <w:p w14:paraId="5E8A208F">
            <w:pPr>
              <w:jc w:val="center"/>
              <w:rPr>
                <w:rFonts w:hint="eastAsia" w:ascii="宋体" w:hAnsi="宋体"/>
                <w:sz w:val="18"/>
                <w:szCs w:val="18"/>
              </w:rPr>
            </w:pPr>
            <w:r>
              <w:rPr>
                <w:rFonts w:hint="eastAsia" w:ascii="宋体" w:hAnsi="宋体"/>
                <w:kern w:val="0"/>
                <w:sz w:val="18"/>
                <w:szCs w:val="18"/>
              </w:rPr>
              <w:t>80≤分数≤100</w:t>
            </w:r>
          </w:p>
        </w:tc>
        <w:tc>
          <w:tcPr>
            <w:tcW w:w="6467" w:type="dxa"/>
            <w:vAlign w:val="center"/>
          </w:tcPr>
          <w:p w14:paraId="741001C9">
            <w:pPr>
              <w:jc w:val="left"/>
              <w:rPr>
                <w:rFonts w:hint="eastAsia" w:ascii="宋体" w:hAnsi="宋体"/>
                <w:sz w:val="18"/>
                <w:szCs w:val="18"/>
              </w:rPr>
            </w:pPr>
            <w:r>
              <w:rPr>
                <w:rFonts w:hint="eastAsia" w:ascii="宋体" w:hAnsi="宋体"/>
                <w:kern w:val="0"/>
                <w:sz w:val="18"/>
                <w:szCs w:val="18"/>
              </w:rPr>
              <w:t>企业的信用程度高、债务风险小。该类企业具有优秀的信用记录，经营状况佳，盈利能力强，发展前景广阔，不确定性因素对其经营与发展的影响极小。</w:t>
            </w:r>
          </w:p>
        </w:tc>
      </w:tr>
      <w:tr w14:paraId="7982E3B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4" w:hRule="atLeast"/>
          <w:jc w:val="center"/>
        </w:trPr>
        <w:tc>
          <w:tcPr>
            <w:tcW w:w="1196" w:type="dxa"/>
            <w:vAlign w:val="center"/>
          </w:tcPr>
          <w:p w14:paraId="0F99349D">
            <w:pPr>
              <w:jc w:val="center"/>
              <w:rPr>
                <w:rFonts w:hint="eastAsia" w:ascii="宋体" w:hAnsi="宋体"/>
                <w:sz w:val="18"/>
                <w:szCs w:val="18"/>
              </w:rPr>
            </w:pPr>
            <w:r>
              <w:rPr>
                <w:sz w:val="18"/>
                <w:szCs w:val="18"/>
              </w:rPr>
              <w:t>AA</w:t>
            </w:r>
          </w:p>
        </w:tc>
        <w:tc>
          <w:tcPr>
            <w:tcW w:w="1693" w:type="dxa"/>
            <w:vAlign w:val="center"/>
          </w:tcPr>
          <w:p w14:paraId="038428C8">
            <w:pPr>
              <w:jc w:val="center"/>
              <w:rPr>
                <w:rFonts w:hint="eastAsia" w:ascii="宋体" w:hAnsi="宋体"/>
                <w:sz w:val="18"/>
                <w:szCs w:val="18"/>
              </w:rPr>
            </w:pPr>
            <w:r>
              <w:rPr>
                <w:rFonts w:hint="eastAsia" w:ascii="宋体" w:hAnsi="宋体"/>
                <w:kern w:val="0"/>
                <w:sz w:val="18"/>
                <w:szCs w:val="18"/>
              </w:rPr>
              <w:t>70≤分数＜80</w:t>
            </w:r>
          </w:p>
        </w:tc>
        <w:tc>
          <w:tcPr>
            <w:tcW w:w="6467" w:type="dxa"/>
            <w:vAlign w:val="center"/>
          </w:tcPr>
          <w:p w14:paraId="001D278C">
            <w:pPr>
              <w:jc w:val="left"/>
              <w:rPr>
                <w:rFonts w:hint="eastAsia" w:ascii="宋体" w:hAnsi="宋体"/>
                <w:sz w:val="18"/>
                <w:szCs w:val="18"/>
              </w:rPr>
            </w:pPr>
            <w:r>
              <w:rPr>
                <w:rFonts w:hint="eastAsia" w:ascii="宋体" w:hAnsi="宋体"/>
                <w:kern w:val="0"/>
                <w:sz w:val="18"/>
                <w:szCs w:val="18"/>
              </w:rPr>
              <w:t>企业的信用程度较高，债务风险较小。该类企业具有优良的信用记录，经营状况较佳，盈利水平较高，发展前景较为广阔，不确定性因素对其经营与发展的影响很小。</w:t>
            </w:r>
          </w:p>
        </w:tc>
      </w:tr>
      <w:tr w14:paraId="1BC41D1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4" w:hRule="atLeast"/>
          <w:jc w:val="center"/>
        </w:trPr>
        <w:tc>
          <w:tcPr>
            <w:tcW w:w="1196" w:type="dxa"/>
            <w:vAlign w:val="center"/>
          </w:tcPr>
          <w:p w14:paraId="2D6817F1">
            <w:pPr>
              <w:jc w:val="center"/>
              <w:rPr>
                <w:rFonts w:hint="eastAsia" w:ascii="宋体" w:hAnsi="宋体"/>
                <w:sz w:val="18"/>
                <w:szCs w:val="18"/>
              </w:rPr>
            </w:pPr>
            <w:r>
              <w:rPr>
                <w:sz w:val="18"/>
                <w:szCs w:val="18"/>
              </w:rPr>
              <w:t>A</w:t>
            </w:r>
          </w:p>
        </w:tc>
        <w:tc>
          <w:tcPr>
            <w:tcW w:w="1693" w:type="dxa"/>
            <w:vAlign w:val="center"/>
          </w:tcPr>
          <w:p w14:paraId="0D6B3CAA">
            <w:pPr>
              <w:jc w:val="center"/>
              <w:rPr>
                <w:rFonts w:hint="eastAsia" w:ascii="宋体" w:hAnsi="宋体"/>
                <w:sz w:val="18"/>
                <w:szCs w:val="18"/>
              </w:rPr>
            </w:pPr>
            <w:r>
              <w:rPr>
                <w:rFonts w:hint="eastAsia" w:ascii="宋体" w:hAnsi="宋体"/>
                <w:kern w:val="0"/>
                <w:sz w:val="18"/>
                <w:szCs w:val="18"/>
              </w:rPr>
              <w:t>60≤分数＜70</w:t>
            </w:r>
          </w:p>
        </w:tc>
        <w:tc>
          <w:tcPr>
            <w:tcW w:w="6467" w:type="dxa"/>
            <w:vAlign w:val="center"/>
          </w:tcPr>
          <w:p w14:paraId="6602FD81">
            <w:pPr>
              <w:jc w:val="left"/>
              <w:rPr>
                <w:rFonts w:hint="eastAsia" w:ascii="宋体" w:hAnsi="宋体"/>
                <w:sz w:val="18"/>
                <w:szCs w:val="18"/>
              </w:rPr>
            </w:pPr>
            <w:r>
              <w:rPr>
                <w:rFonts w:hint="eastAsia" w:ascii="宋体" w:hAnsi="宋体"/>
                <w:kern w:val="0"/>
                <w:sz w:val="18"/>
                <w:szCs w:val="18"/>
              </w:rPr>
              <w:t>企业的信用程度良好，在正常情况下偿还债务没有问题。该类企业具有良好的信用记录，经营处于良性循环状态，但是可能存在一些影响其未来经营与发展的不确定因素，进而削弱其盈利能力和偿债能力。</w:t>
            </w:r>
          </w:p>
        </w:tc>
      </w:tr>
      <w:tr w14:paraId="3EB1A73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4" w:hRule="atLeast"/>
          <w:jc w:val="center"/>
        </w:trPr>
        <w:tc>
          <w:tcPr>
            <w:tcW w:w="1196" w:type="dxa"/>
            <w:vAlign w:val="center"/>
          </w:tcPr>
          <w:p w14:paraId="4D9D1CC0">
            <w:pPr>
              <w:jc w:val="center"/>
              <w:rPr>
                <w:sz w:val="18"/>
                <w:szCs w:val="18"/>
              </w:rPr>
            </w:pPr>
            <w:r>
              <w:rPr>
                <w:sz w:val="18"/>
                <w:szCs w:val="18"/>
              </w:rPr>
              <w:t>B</w:t>
            </w:r>
          </w:p>
        </w:tc>
        <w:tc>
          <w:tcPr>
            <w:tcW w:w="1693" w:type="dxa"/>
            <w:vAlign w:val="center"/>
          </w:tcPr>
          <w:p w14:paraId="1F64D555">
            <w:pPr>
              <w:jc w:val="center"/>
              <w:rPr>
                <w:rFonts w:hint="eastAsia" w:ascii="宋体" w:hAnsi="宋体"/>
                <w:sz w:val="18"/>
                <w:szCs w:val="18"/>
              </w:rPr>
            </w:pPr>
            <w:r>
              <w:rPr>
                <w:rFonts w:hint="eastAsia" w:ascii="宋体" w:hAnsi="宋体"/>
                <w:kern w:val="0"/>
                <w:sz w:val="18"/>
                <w:szCs w:val="18"/>
              </w:rPr>
              <w:t>40≤分数＜60</w:t>
            </w:r>
          </w:p>
        </w:tc>
        <w:tc>
          <w:tcPr>
            <w:tcW w:w="6467" w:type="dxa"/>
            <w:vAlign w:val="center"/>
          </w:tcPr>
          <w:p w14:paraId="7A58E0B6">
            <w:pPr>
              <w:jc w:val="left"/>
              <w:rPr>
                <w:rFonts w:hint="eastAsia" w:ascii="宋体" w:hAnsi="宋体"/>
                <w:sz w:val="18"/>
                <w:szCs w:val="18"/>
              </w:rPr>
            </w:pPr>
            <w:r>
              <w:rPr>
                <w:rFonts w:hint="eastAsia" w:ascii="宋体" w:hAnsi="宋体"/>
                <w:kern w:val="0"/>
                <w:sz w:val="18"/>
                <w:szCs w:val="18"/>
              </w:rPr>
              <w:t>企业的信用程度一般，偿还债务的能力一般。该类企业的信用记录正常，但其经营状况、盈利水平及未来发展易受不确定因素的影响，偿债能力有波动。</w:t>
            </w:r>
          </w:p>
        </w:tc>
      </w:tr>
      <w:tr w14:paraId="3F5E7E4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4" w:hRule="atLeast"/>
          <w:jc w:val="center"/>
        </w:trPr>
        <w:tc>
          <w:tcPr>
            <w:tcW w:w="1196" w:type="dxa"/>
            <w:vAlign w:val="center"/>
          </w:tcPr>
          <w:p w14:paraId="4068E7FC">
            <w:pPr>
              <w:jc w:val="center"/>
              <w:rPr>
                <w:sz w:val="18"/>
                <w:szCs w:val="18"/>
              </w:rPr>
            </w:pPr>
            <w:r>
              <w:rPr>
                <w:sz w:val="18"/>
                <w:szCs w:val="18"/>
              </w:rPr>
              <w:t>C</w:t>
            </w:r>
          </w:p>
        </w:tc>
        <w:tc>
          <w:tcPr>
            <w:tcW w:w="1693" w:type="dxa"/>
            <w:vAlign w:val="center"/>
          </w:tcPr>
          <w:p w14:paraId="139883D1">
            <w:pPr>
              <w:jc w:val="center"/>
              <w:rPr>
                <w:rFonts w:hint="eastAsia" w:ascii="宋体" w:hAnsi="宋体"/>
                <w:sz w:val="18"/>
                <w:szCs w:val="18"/>
              </w:rPr>
            </w:pPr>
            <w:r>
              <w:rPr>
                <w:rFonts w:hint="eastAsia" w:ascii="宋体" w:hAnsi="宋体"/>
                <w:kern w:val="0"/>
                <w:sz w:val="18"/>
                <w:szCs w:val="18"/>
              </w:rPr>
              <w:t>分数＜40</w:t>
            </w:r>
          </w:p>
        </w:tc>
        <w:tc>
          <w:tcPr>
            <w:tcW w:w="6467" w:type="dxa"/>
            <w:vAlign w:val="center"/>
          </w:tcPr>
          <w:p w14:paraId="5D05B786">
            <w:pPr>
              <w:jc w:val="left"/>
              <w:rPr>
                <w:rFonts w:hint="eastAsia" w:ascii="宋体" w:hAnsi="宋体"/>
                <w:sz w:val="18"/>
                <w:szCs w:val="18"/>
              </w:rPr>
            </w:pPr>
            <w:r>
              <w:rPr>
                <w:rFonts w:hint="eastAsia" w:ascii="宋体" w:hAnsi="宋体"/>
                <w:kern w:val="0"/>
                <w:sz w:val="18"/>
                <w:szCs w:val="18"/>
              </w:rPr>
              <w:t>企业信用差，偿债能力很弱。该类企业的经营状况、盈利水平及未来发展具有很大的不确定性。</w:t>
            </w:r>
          </w:p>
        </w:tc>
      </w:tr>
    </w:tbl>
    <w:p w14:paraId="271F212B">
      <w:pPr>
        <w:pStyle w:val="131"/>
        <w:spacing w:before="156" w:beforeLines="50" w:after="156" w:afterLines="50"/>
        <w:ind w:left="0" w:firstLine="420" w:firstLineChars="200"/>
        <w:outlineLvl w:val="1"/>
        <w:rPr>
          <w:rFonts w:hint="eastAsia" w:hAnsi="宋体" w:cs="黑体"/>
          <w:bCs/>
        </w:rPr>
      </w:pPr>
    </w:p>
    <w:p w14:paraId="70482B03">
      <w:pPr>
        <w:pStyle w:val="131"/>
        <w:spacing w:before="156" w:beforeLines="50" w:after="156" w:afterLines="50"/>
        <w:ind w:left="0" w:firstLine="424" w:firstLineChars="202"/>
        <w:outlineLvl w:val="1"/>
        <w:rPr>
          <w:rFonts w:hint="eastAsia" w:ascii="黑体" w:hAnsi="黑体" w:eastAsia="黑体" w:cs="黑体"/>
          <w:bCs/>
        </w:rPr>
      </w:pPr>
      <w:bookmarkStart w:id="91" w:name="_Toc141929817"/>
      <w:bookmarkStart w:id="92" w:name="_Toc175673378"/>
      <w:r>
        <w:rPr>
          <w:rFonts w:ascii="黑体" w:hAnsi="Times New Roman" w:eastAsia="黑体"/>
        </w:rPr>
        <mc:AlternateContent>
          <mc:Choice Requires="wps">
            <w:drawing>
              <wp:anchor distT="0" distB="0" distL="114300" distR="114300" simplePos="0" relativeHeight="251666432" behindDoc="0" locked="0" layoutInCell="1" allowOverlap="1">
                <wp:simplePos x="0" y="0"/>
                <wp:positionH relativeFrom="column">
                  <wp:posOffset>2400300</wp:posOffset>
                </wp:positionH>
                <wp:positionV relativeFrom="paragraph">
                  <wp:posOffset>73660</wp:posOffset>
                </wp:positionV>
                <wp:extent cx="1133475" cy="0"/>
                <wp:effectExtent l="15240" t="15875" r="13335" b="12700"/>
                <wp:wrapNone/>
                <wp:docPr id="5" name="直线 33"/>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19050">
                          <a:solidFill>
                            <a:srgbClr val="000000"/>
                          </a:solidFill>
                          <a:round/>
                        </a:ln>
                      </wps:spPr>
                      <wps:bodyPr/>
                    </wps:wsp>
                  </a:graphicData>
                </a:graphic>
              </wp:anchor>
            </w:drawing>
          </mc:Choice>
          <mc:Fallback>
            <w:pict>
              <v:line id="直线 33" o:spid="_x0000_s1026" o:spt="20" style="position:absolute;left:0pt;margin-left:189pt;margin-top:5.8pt;height:0pt;width:89.25pt;z-index:251666432;mso-width-relative:page;mso-height-relative:page;" filled="f" stroked="t" coordsize="21600,21600" o:gfxdata="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LK9PrVAAAACQEAAA8AAAAAAAAAAQAg&#10;AAAAIgAAAGRycy9kb3ducmV2LnhtbFBLAQIUABQAAAAIAIdO4kBMcV0G2AEAAKMDAAAOAAAAAAAA&#10;AAEAIAAAACQBAABkcnMvZTJvRG9jLnhtbFBLBQYAAAAABgAGAFkBAABuBQAAAAA=&#10;">
                <v:fill on="f" focussize="0,0"/>
                <v:stroke weight="1.5pt" color="#000000" joinstyle="round"/>
                <v:imagedata o:title=""/>
                <o:lock v:ext="edit" aspectratio="f"/>
              </v:line>
            </w:pict>
          </mc:Fallback>
        </mc:AlternateContent>
      </w:r>
      <w:bookmarkEnd w:id="91"/>
      <w:bookmarkEnd w:id="92"/>
    </w:p>
    <w:sectPr>
      <w:headerReference r:id="rId18" w:type="default"/>
      <w:headerReference r:id="rId19" w:type="even"/>
      <w:pgSz w:w="11907" w:h="16839"/>
      <w:pgMar w:top="1985" w:right="1134" w:bottom="1134" w:left="1134" w:header="1418" w:footer="851" w:gutter="284"/>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C9E19">
    <w:pPr>
      <w:pStyle w:val="25"/>
      <w:framePr w:wrap="around" w:vAnchor="text" w:hAnchor="margin" w:xAlign="right" w:y="1"/>
      <w:rPr>
        <w:rStyle w:val="36"/>
      </w:rPr>
    </w:pPr>
    <w:r>
      <w:fldChar w:fldCharType="begin"/>
    </w:r>
    <w:r>
      <w:rPr>
        <w:rStyle w:val="36"/>
      </w:rPr>
      <w:instrText xml:space="preserve">PAGE  </w:instrText>
    </w:r>
    <w:r>
      <w:fldChar w:fldCharType="separate"/>
    </w:r>
    <w:r>
      <w:rPr>
        <w:rStyle w:val="36"/>
      </w:rPr>
      <w:t>1</w:t>
    </w:r>
    <w:r>
      <w:fldChar w:fldCharType="end"/>
    </w:r>
  </w:p>
  <w:p w14:paraId="50F9F51B">
    <w:pPr>
      <w:pStyle w:val="107"/>
      <w:ind w:right="360"/>
      <w:rPr>
        <w:rStyle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F6E1C">
    <w:pPr>
      <w:pStyle w:val="25"/>
      <w:framePr w:wrap="around" w:vAnchor="text" w:hAnchor="margin" w:xAlign="right" w:y="1"/>
      <w:rPr>
        <w:rStyle w:val="36"/>
      </w:rPr>
    </w:pPr>
    <w:r>
      <w:fldChar w:fldCharType="begin"/>
    </w:r>
    <w:r>
      <w:rPr>
        <w:rStyle w:val="36"/>
      </w:rPr>
      <w:instrText xml:space="preserve">PAGE  </w:instrText>
    </w:r>
    <w:r>
      <w:fldChar w:fldCharType="separate"/>
    </w:r>
    <w:r>
      <w:rPr>
        <w:rStyle w:val="36"/>
      </w:rPr>
      <w:t>0</w:t>
    </w:r>
    <w:r>
      <w:fldChar w:fldCharType="end"/>
    </w:r>
  </w:p>
  <w:p w14:paraId="0CDFF307">
    <w:pPr>
      <w:pStyle w:val="96"/>
      <w:ind w:right="360"/>
      <w:rPr>
        <w:rStyle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9F56">
    <w:pPr>
      <w:pStyle w:val="107"/>
      <w:rPr>
        <w:rStyle w:val="36"/>
        <w:rFonts w:hint="eastAsia" w:ascii="宋体" w:hAnsi="宋体"/>
      </w:rPr>
    </w:pPr>
    <w:r>
      <w:rPr>
        <w:rFonts w:ascii="宋体" w:hAnsi="宋体"/>
      </w:rPr>
      <w:fldChar w:fldCharType="begin"/>
    </w:r>
    <w:r>
      <w:rPr>
        <w:rStyle w:val="36"/>
        <w:rFonts w:ascii="宋体" w:hAnsi="宋体"/>
      </w:rPr>
      <w:instrText xml:space="preserve">PAGE  </w:instrText>
    </w:r>
    <w:r>
      <w:rPr>
        <w:rFonts w:ascii="宋体" w:hAnsi="宋体"/>
      </w:rPr>
      <w:fldChar w:fldCharType="separate"/>
    </w:r>
    <w:r>
      <w:rPr>
        <w:rStyle w:val="36"/>
        <w:rFonts w:ascii="宋体" w:hAnsi="宋体"/>
      </w:rPr>
      <w:t>I</w:t>
    </w:r>
    <w:r>
      <w:rPr>
        <w:rFonts w:ascii="宋体" w:hAnsi="宋体"/>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A590F">
    <w:pPr>
      <w:pStyle w:val="96"/>
      <w:rPr>
        <w:rStyle w:val="36"/>
      </w:rPr>
    </w:pPr>
    <w:r>
      <w:fldChar w:fldCharType="begin"/>
    </w:r>
    <w:r>
      <w:rPr>
        <w:rStyle w:val="36"/>
      </w:rPr>
      <w:instrText xml:space="preserve">PAGE  </w:instrText>
    </w:r>
    <w:r>
      <w:fldChar w:fldCharType="separate"/>
    </w:r>
    <w:r>
      <w:rPr>
        <w:rStyle w:val="36"/>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543A9">
    <w:pPr>
      <w:pStyle w:val="25"/>
      <w:rPr>
        <w:rFonts w:hint="eastAsia"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w:t>
    </w:r>
    <w:r>
      <w:rPr>
        <w:rFonts w:ascii="宋体" w:hAnsi="宋体"/>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FA26C">
    <w:pPr>
      <w:pStyle w:val="25"/>
      <w:jc w:val="left"/>
      <w:rPr>
        <w:rStyle w:val="36"/>
        <w:rFonts w:hint="eastAsia"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2</w:t>
    </w:r>
    <w:r>
      <w:rPr>
        <w:rFonts w:ascii="宋体" w:hAnsi="宋体"/>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7F42">
    <w:pPr>
      <w:pStyle w:val="25"/>
      <w:jc w:val="left"/>
      <w:rPr>
        <w:rStyle w:val="36"/>
        <w:rFonts w:hint="eastAsia"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w:t>
    </w:r>
    <w:r>
      <w:rPr>
        <w:rFonts w:ascii="宋体" w:hAnsi="宋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E794">
    <w:pPr>
      <w:pStyle w:val="75"/>
    </w:pPr>
    <w:r>
      <w:t>T/JYBZ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7F121">
    <w:pPr>
      <w:pStyle w:val="74"/>
      <w:tabs>
        <w:tab w:val="clear" w:pos="4154"/>
        <w:tab w:val="clear" w:pos="8306"/>
      </w:tabs>
      <w:rPr>
        <w:rFonts w:hint="eastAsia" w:ascii="黑体" w:hAnsi="黑体" w:eastAsia="黑体"/>
      </w:rPr>
    </w:pPr>
    <w:r>
      <w:rPr>
        <w:rFonts w:eastAsiaTheme="minorEastAsia"/>
        <w:szCs w:val="21"/>
      </w:rPr>
      <w:t>T/</w:t>
    </w:r>
    <w:r>
      <w:rPr>
        <w:rFonts w:hint="eastAsia" w:eastAsiaTheme="minorEastAsia"/>
        <w:szCs w:val="21"/>
        <w:lang w:val="en-US" w:eastAsia="zh-CN"/>
      </w:rPr>
      <w:t>CAATB</w:t>
    </w:r>
    <w:r>
      <w:rPr>
        <w:rFonts w:ascii="黑体" w:hAnsi="黑体" w:eastAsia="黑体"/>
      </w:rPr>
      <w:t xml:space="preserve"> </w:t>
    </w:r>
    <w:r>
      <w:rPr>
        <w:rFonts w:hint="eastAsia" w:ascii="黑体" w:hAnsi="黑体" w:eastAsia="黑体"/>
      </w:rPr>
      <w:t>00</w:t>
    </w:r>
    <w:r>
      <w:rPr>
        <w:rFonts w:hint="eastAsia" w:ascii="黑体" w:hAnsi="黑体" w:eastAsia="黑体"/>
        <w:lang w:val="en-US" w:eastAsia="zh-CN"/>
      </w:rPr>
      <w:t>X</w:t>
    </w:r>
    <w:r>
      <w:rPr>
        <w:rFonts w:ascii="黑体" w:hAnsi="黑体" w:eastAsia="黑体"/>
      </w:rPr>
      <w:t>—20</w:t>
    </w:r>
    <w:r>
      <w:rPr>
        <w:rFonts w:hint="eastAsia" w:ascii="黑体" w:hAnsi="黑体" w:eastAsia="黑体"/>
      </w:rPr>
      <w:t>2X</w:t>
    </w:r>
  </w:p>
  <w:p w14:paraId="7404AA44">
    <w:pPr>
      <w:pStyle w:val="2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4A338">
    <w:pPr>
      <w:pStyle w:val="74"/>
      <w:tabs>
        <w:tab w:val="clear" w:pos="4154"/>
        <w:tab w:val="clear" w:pos="8306"/>
      </w:tabs>
    </w:pPr>
    <w:r>
      <w:t>T/JYBZ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A560F">
    <w:pPr>
      <w:pStyle w:val="74"/>
      <w:tabs>
        <w:tab w:val="clear" w:pos="4154"/>
        <w:tab w:val="clear" w:pos="8306"/>
      </w:tabs>
      <w:jc w:val="right"/>
      <w:rPr>
        <w:rFonts w:hint="eastAsia"/>
      </w:rPr>
    </w:pPr>
    <w:r>
      <w:rPr>
        <w:rFonts w:eastAsiaTheme="minorEastAsia"/>
        <w:szCs w:val="21"/>
      </w:rPr>
      <w:t>T/</w:t>
    </w:r>
    <w:r>
      <w:rPr>
        <w:rFonts w:hint="eastAsia" w:eastAsiaTheme="minorEastAsia"/>
        <w:szCs w:val="21"/>
        <w:lang w:val="en-US" w:eastAsia="zh-CN"/>
      </w:rPr>
      <w:t>CAATB</w:t>
    </w:r>
    <w:r>
      <w:rPr>
        <w:rFonts w:ascii="黑体" w:hAnsi="黑体" w:eastAsia="黑体"/>
      </w:rPr>
      <w:t xml:space="preserve"> </w:t>
    </w:r>
    <w:r>
      <w:rPr>
        <w:rFonts w:hint="eastAsia" w:ascii="黑体" w:hAnsi="黑体" w:eastAsia="黑体"/>
      </w:rPr>
      <w:t>00</w:t>
    </w:r>
    <w:r>
      <w:rPr>
        <w:rFonts w:hint="eastAsia" w:ascii="黑体" w:hAnsi="黑体" w:eastAsia="黑体"/>
        <w:lang w:val="en-US" w:eastAsia="zh-CN"/>
      </w:rPr>
      <w:t>X</w:t>
    </w:r>
    <w:r>
      <w:rPr>
        <w:rFonts w:ascii="黑体" w:hAnsi="黑体" w:eastAsia="黑体"/>
      </w:rPr>
      <w:t>—20</w:t>
    </w:r>
    <w:r>
      <w:rPr>
        <w:rFonts w:hint="eastAsia" w:ascii="黑体" w:hAnsi="黑体" w:eastAsia="黑体"/>
      </w:rPr>
      <w:t>2X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DC07E">
    <w:pPr>
      <w:pStyle w:val="74"/>
      <w:tabs>
        <w:tab w:val="clear" w:pos="4154"/>
        <w:tab w:val="clear" w:pos="8306"/>
      </w:tabs>
      <w:rPr>
        <w:rFonts w:hint="eastAsia" w:ascii="黑体" w:hAnsi="黑体" w:eastAsia="黑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95D0">
    <w:pPr>
      <w:pStyle w:val="75"/>
      <w:rPr>
        <w:rFonts w:hint="eastAsia" w:ascii="黑体" w:hAnsi="黑体" w:eastAsia="黑体"/>
      </w:rPr>
    </w:pPr>
    <w:r>
      <w:rPr>
        <w:rFonts w:eastAsiaTheme="minorEastAsia"/>
        <w:szCs w:val="21"/>
      </w:rPr>
      <w:drawing>
        <wp:anchor distT="0" distB="0" distL="114300" distR="114300" simplePos="0" relativeHeight="251666432" behindDoc="1" locked="0" layoutInCell="1" allowOverlap="1">
          <wp:simplePos x="0" y="0"/>
          <wp:positionH relativeFrom="column">
            <wp:posOffset>9342755</wp:posOffset>
          </wp:positionH>
          <wp:positionV relativeFrom="paragraph">
            <wp:posOffset>3220085</wp:posOffset>
          </wp:positionV>
          <wp:extent cx="2320290" cy="1899920"/>
          <wp:effectExtent l="19050" t="0" r="0" b="0"/>
          <wp:wrapNone/>
          <wp:docPr id="1" name="图片 1"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缩写"/>
                  <pic:cNvPicPr>
                    <a:picLocks noChangeAspect="1" noChangeArrowheads="1"/>
                  </pic:cNvPicPr>
                </pic:nvPicPr>
                <pic:blipFill>
                  <a:blip r:embed="rId1" cstate="print">
                    <a:lum bright="80000" contrast="-43000"/>
                  </a:blip>
                  <a:srcRect/>
                  <a:stretch>
                    <a:fillRect/>
                  </a:stretch>
                </pic:blipFill>
                <pic:spPr>
                  <a:xfrm>
                    <a:off x="0" y="0"/>
                    <a:ext cx="2324555" cy="1897039"/>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51D4">
    <w:pPr>
      <w:pStyle w:val="74"/>
      <w:tabs>
        <w:tab w:val="clear" w:pos="4154"/>
        <w:tab w:val="clear" w:pos="8306"/>
      </w:tabs>
      <w:rPr>
        <w:rFonts w:hint="eastAsia" w:ascii="黑体" w:hAnsi="黑体" w:eastAsia="黑体"/>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0274">
    <w:pPr>
      <w:pStyle w:val="74"/>
      <w:tabs>
        <w:tab w:val="clear" w:pos="4154"/>
        <w:tab w:val="clear" w:pos="8306"/>
      </w:tabs>
      <w:jc w:val="right"/>
      <w:rPr>
        <w:rFonts w:hint="eastAsia" w:ascii="黑体" w:hAnsi="黑体" w:eastAsia="黑体"/>
      </w:rPr>
    </w:pPr>
    <w:r>
      <w:rPr>
        <w:rFonts w:eastAsiaTheme="minorEastAsia"/>
        <w:szCs w:val="21"/>
      </w:rPr>
      <w:t>T/</w:t>
    </w:r>
    <w:r>
      <w:rPr>
        <w:rFonts w:hint="eastAsia" w:eastAsiaTheme="minorEastAsia"/>
        <w:szCs w:val="21"/>
        <w:lang w:val="en-US" w:eastAsia="zh-CN"/>
      </w:rPr>
      <w:t>CAATB</w:t>
    </w:r>
    <w:r>
      <w:rPr>
        <w:rFonts w:ascii="黑体" w:hAnsi="黑体" w:eastAsia="黑体"/>
      </w:rPr>
      <w:t xml:space="preserve"> </w:t>
    </w:r>
    <w:r>
      <w:rPr>
        <w:rFonts w:hint="eastAsia" w:ascii="黑体" w:hAnsi="黑体" w:eastAsia="黑体"/>
      </w:rPr>
      <w:t>00</w:t>
    </w:r>
    <w:r>
      <w:rPr>
        <w:rFonts w:hint="eastAsia" w:ascii="黑体" w:hAnsi="黑体" w:eastAsia="黑体"/>
        <w:lang w:val="en-US" w:eastAsia="zh-CN"/>
      </w:rPr>
      <w:t>X</w:t>
    </w:r>
    <w:r>
      <w:rPr>
        <w:rFonts w:ascii="黑体" w:hAnsi="黑体" w:eastAsia="黑体"/>
      </w:rPr>
      <w:t>—20</w:t>
    </w:r>
    <w:r>
      <w:rPr>
        <w:rFonts w:hint="eastAsia" w:ascii="黑体" w:hAnsi="黑体" w:eastAsia="黑体"/>
      </w:rPr>
      <w:t>2X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6B5B">
    <w:pPr>
      <w:pStyle w:val="74"/>
      <w:tabs>
        <w:tab w:val="clear" w:pos="4154"/>
        <w:tab w:val="clear" w:pos="8306"/>
      </w:tabs>
      <w:rPr>
        <w:rFonts w:hint="eastAsia" w:ascii="黑体" w:hAnsi="黑体" w:eastAsia="黑体"/>
      </w:rPr>
    </w:pPr>
    <w:r>
      <w:rPr>
        <w:rFonts w:eastAsiaTheme="minorEastAsia"/>
        <w:szCs w:val="21"/>
      </w:rPr>
      <w:t>T/</w:t>
    </w:r>
    <w:r>
      <w:rPr>
        <w:rFonts w:hint="eastAsia" w:eastAsiaTheme="minorEastAsia"/>
        <w:szCs w:val="21"/>
        <w:lang w:val="en-US" w:eastAsia="zh-CN"/>
      </w:rPr>
      <w:t>CAATB</w:t>
    </w:r>
    <w:r>
      <w:rPr>
        <w:rFonts w:ascii="黑体" w:hAnsi="黑体" w:eastAsia="黑体"/>
      </w:rPr>
      <w:t xml:space="preserve"> </w:t>
    </w:r>
    <w:r>
      <w:rPr>
        <w:rFonts w:hint="eastAsia" w:ascii="黑体" w:hAnsi="黑体" w:eastAsia="黑体"/>
      </w:rPr>
      <w:t>00</w:t>
    </w:r>
    <w:r>
      <w:rPr>
        <w:rFonts w:hint="eastAsia" w:ascii="黑体" w:hAnsi="黑体" w:eastAsia="黑体"/>
        <w:lang w:val="en-US" w:eastAsia="zh-CN"/>
      </w:rPr>
      <w:t>X</w:t>
    </w:r>
    <w:r>
      <w:rPr>
        <w:rFonts w:ascii="黑体" w:hAnsi="黑体" w:eastAsia="黑体"/>
      </w:rPr>
      <w:t>—20</w:t>
    </w:r>
    <w:r>
      <w:rPr>
        <w:rFonts w:hint="eastAsia" w:ascii="黑体" w:hAnsi="黑体" w:eastAsia="黑体"/>
      </w:rPr>
      <w:t>2X</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3CCF9">
    <w:pPr>
      <w:pStyle w:val="75"/>
      <w:rPr>
        <w:rFonts w:hint="eastAsia" w:ascii="黑体" w:hAnsi="黑体" w:eastAsia="黑体"/>
      </w:rPr>
    </w:pPr>
    <w:r>
      <w:rPr>
        <w:rFonts w:eastAsiaTheme="minorEastAsia"/>
        <w:szCs w:val="21"/>
      </w:rPr>
      <w:drawing>
        <wp:anchor distT="0" distB="0" distL="114300" distR="114300" simplePos="0" relativeHeight="251670528" behindDoc="1" locked="0" layoutInCell="1" allowOverlap="1">
          <wp:simplePos x="0" y="0"/>
          <wp:positionH relativeFrom="column">
            <wp:posOffset>9342755</wp:posOffset>
          </wp:positionH>
          <wp:positionV relativeFrom="paragraph">
            <wp:posOffset>3220085</wp:posOffset>
          </wp:positionV>
          <wp:extent cx="2320290" cy="1899920"/>
          <wp:effectExtent l="19050" t="0" r="0" b="0"/>
          <wp:wrapNone/>
          <wp:docPr id="14" name="图片 14" descr="！LOGO缩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OGO缩写"/>
                  <pic:cNvPicPr>
                    <a:picLocks noChangeAspect="1" noChangeArrowheads="1"/>
                  </pic:cNvPicPr>
                </pic:nvPicPr>
                <pic:blipFill>
                  <a:blip r:embed="rId1" cstate="print">
                    <a:lum bright="80000" contrast="-43000"/>
                  </a:blip>
                  <a:srcRect/>
                  <a:stretch>
                    <a:fillRect/>
                  </a:stretch>
                </pic:blipFill>
                <pic:spPr>
                  <a:xfrm>
                    <a:off x="0" y="0"/>
                    <a:ext cx="2324555" cy="1897039"/>
                  </a:xfrm>
                  <a:prstGeom prst="rect">
                    <a:avLst/>
                  </a:prstGeom>
                  <a:noFill/>
                  <a:ln w="9525">
                    <a:noFill/>
                    <a:miter lim="800000"/>
                    <a:headEnd/>
                    <a:tailEnd/>
                  </a:ln>
                </pic:spPr>
              </pic:pic>
            </a:graphicData>
          </a:graphic>
        </wp:anchor>
      </w:drawing>
    </w:r>
    <w:r>
      <w:rPr>
        <w:rFonts w:eastAsiaTheme="minorEastAsia"/>
        <w:szCs w:val="21"/>
      </w:rPr>
      <w:t>T/</w:t>
    </w:r>
    <w:r>
      <w:rPr>
        <w:rFonts w:hint="eastAsia" w:eastAsiaTheme="minorEastAsia"/>
        <w:szCs w:val="21"/>
      </w:rPr>
      <w:t>****</w:t>
    </w:r>
    <w:r>
      <w:rPr>
        <w:rFonts w:ascii="黑体" w:hAnsi="黑体" w:eastAsia="黑体"/>
      </w:rPr>
      <w:t xml:space="preserve"> </w:t>
    </w:r>
    <w:r>
      <w:rPr>
        <w:rFonts w:hint="eastAsia" w:ascii="黑体" w:hAnsi="黑体" w:eastAsia="黑体"/>
      </w:rPr>
      <w:t>001</w:t>
    </w:r>
    <w:r>
      <w:rPr>
        <w:rFonts w:ascii="黑体" w:hAnsi="黑体" w:eastAsia="黑体"/>
      </w:rPr>
      <w:t>—</w:t>
    </w:r>
    <w:r>
      <w:rPr>
        <w:rFonts w:hint="eastAsia" w:ascii="黑体" w:hAnsi="黑体" w:eastAsia="黑体"/>
      </w:rPr>
      <w:t>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10"/>
      <w:suff w:val="nothing"/>
      <w:lvlText w:val="%1%2.%3　"/>
      <w:lvlJc w:val="left"/>
      <w:pPr>
        <w:ind w:left="0" w:firstLine="0"/>
      </w:pPr>
      <w:rPr>
        <w:rFonts w:hint="eastAsia" w:ascii="黑体" w:hAnsi="Times New Roman" w:eastAsia="黑体"/>
        <w:b w:val="0"/>
        <w:i w:val="0"/>
        <w:sz w:val="21"/>
      </w:rPr>
    </w:lvl>
    <w:lvl w:ilvl="3" w:tentative="0">
      <w:start w:val="1"/>
      <w:numFmt w:val="decimal"/>
      <w:pStyle w:val="82"/>
      <w:suff w:val="nothing"/>
      <w:lvlText w:val="%1%2.%3.%4　"/>
      <w:lvlJc w:val="left"/>
      <w:pPr>
        <w:ind w:left="0" w:firstLine="0"/>
      </w:pPr>
      <w:rPr>
        <w:rFonts w:hint="eastAsia" w:ascii="黑体" w:hAnsi="Times New Roman" w:eastAsia="黑体"/>
        <w:b w:val="0"/>
        <w:i w:val="0"/>
        <w:sz w:val="21"/>
      </w:rPr>
    </w:lvl>
    <w:lvl w:ilvl="4" w:tentative="0">
      <w:start w:val="1"/>
      <w:numFmt w:val="decimal"/>
      <w:pStyle w:val="106"/>
      <w:suff w:val="nothing"/>
      <w:lvlText w:val="%1%2.%3.%4.%5　"/>
      <w:lvlJc w:val="left"/>
      <w:pPr>
        <w:ind w:left="0" w:firstLine="0"/>
      </w:pPr>
      <w:rPr>
        <w:rFonts w:hint="eastAsia" w:ascii="黑体" w:hAnsi="Times New Roman" w:eastAsia="黑体"/>
        <w:b w:val="0"/>
        <w:i w:val="0"/>
        <w:sz w:val="21"/>
      </w:rPr>
    </w:lvl>
    <w:lvl w:ilvl="5" w:tentative="0">
      <w:start w:val="1"/>
      <w:numFmt w:val="decimal"/>
      <w:pStyle w:val="72"/>
      <w:suff w:val="nothing"/>
      <w:lvlText w:val="%1%2.%3.%4.%5.%6　"/>
      <w:lvlJc w:val="left"/>
      <w:pPr>
        <w:ind w:left="0" w:firstLine="0"/>
      </w:pPr>
      <w:rPr>
        <w:rFonts w:hint="eastAsia" w:ascii="黑体" w:hAnsi="Times New Roman" w:eastAsia="黑体"/>
        <w:b w:val="0"/>
        <w:i w:val="0"/>
        <w:sz w:val="21"/>
      </w:rPr>
    </w:lvl>
    <w:lvl w:ilvl="6" w:tentative="0">
      <w:start w:val="1"/>
      <w:numFmt w:val="decimal"/>
      <w:pStyle w:val="8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6"/>
    <w:multiLevelType w:val="multilevel"/>
    <w:tmpl w:val="00000006"/>
    <w:lvl w:ilvl="0" w:tentative="0">
      <w:start w:val="1"/>
      <w:numFmt w:val="none"/>
      <w:pStyle w:val="90"/>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D"/>
    <w:multiLevelType w:val="multilevel"/>
    <w:tmpl w:val="0000000D"/>
    <w:lvl w:ilvl="0" w:tentative="0">
      <w:start w:val="1"/>
      <w:numFmt w:val="decimal"/>
      <w:pStyle w:val="11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E"/>
    <w:multiLevelType w:val="multilevel"/>
    <w:tmpl w:val="0000000E"/>
    <w:lvl w:ilvl="0" w:tentative="0">
      <w:start w:val="1"/>
      <w:numFmt w:val="none"/>
      <w:pStyle w:val="10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F"/>
    <w:multiLevelType w:val="multilevel"/>
    <w:tmpl w:val="0000000F"/>
    <w:lvl w:ilvl="0" w:tentative="0">
      <w:start w:val="1"/>
      <w:numFmt w:val="upperLetter"/>
      <w:pStyle w:val="95"/>
      <w:suff w:val="nothing"/>
      <w:lvlText w:val="附　录　%1"/>
      <w:lvlJc w:val="left"/>
      <w:pPr>
        <w:ind w:left="0" w:firstLine="0"/>
      </w:pPr>
      <w:rPr>
        <w:rFonts w:hint="eastAsia" w:ascii="黑体" w:hAnsi="Times New Roman" w:eastAsia="黑体"/>
        <w:b w:val="0"/>
        <w:i w:val="0"/>
        <w:sz w:val="21"/>
      </w:rPr>
    </w:lvl>
    <w:lvl w:ilvl="1" w:tentative="0">
      <w:start w:val="1"/>
      <w:numFmt w:val="decimal"/>
      <w:pStyle w:val="5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5"/>
      <w:suff w:val="nothing"/>
      <w:lvlText w:val="%1.%2.%3　"/>
      <w:lvlJc w:val="left"/>
      <w:pPr>
        <w:ind w:left="0" w:firstLine="0"/>
      </w:pPr>
      <w:rPr>
        <w:rFonts w:hint="eastAsia" w:ascii="黑体" w:hAnsi="Times New Roman" w:eastAsia="黑体"/>
        <w:b w:val="0"/>
        <w:i w:val="0"/>
        <w:sz w:val="21"/>
      </w:rPr>
    </w:lvl>
    <w:lvl w:ilvl="3" w:tentative="0">
      <w:start w:val="1"/>
      <w:numFmt w:val="decimal"/>
      <w:pStyle w:val="68"/>
      <w:suff w:val="nothing"/>
      <w:lvlText w:val="%1.%2.%3.%4　"/>
      <w:lvlJc w:val="left"/>
      <w:pPr>
        <w:ind w:left="0" w:firstLine="0"/>
      </w:pPr>
      <w:rPr>
        <w:rFonts w:hint="eastAsia" w:ascii="黑体" w:hAnsi="Times New Roman" w:eastAsia="黑体"/>
        <w:b w:val="0"/>
        <w:i w:val="0"/>
        <w:sz w:val="21"/>
      </w:rPr>
    </w:lvl>
    <w:lvl w:ilvl="4" w:tentative="0">
      <w:start w:val="1"/>
      <w:numFmt w:val="decimal"/>
      <w:pStyle w:val="70"/>
      <w:suff w:val="nothing"/>
      <w:lvlText w:val="%1.%2.%3.%4.%5　"/>
      <w:lvlJc w:val="left"/>
      <w:pPr>
        <w:ind w:left="0" w:firstLine="0"/>
      </w:pPr>
      <w:rPr>
        <w:rFonts w:hint="eastAsia" w:ascii="黑体" w:hAnsi="Times New Roman" w:eastAsia="黑体"/>
        <w:b w:val="0"/>
        <w:i w:val="0"/>
        <w:sz w:val="21"/>
      </w:rPr>
    </w:lvl>
    <w:lvl w:ilvl="5" w:tentative="0">
      <w:start w:val="1"/>
      <w:numFmt w:val="decimal"/>
      <w:pStyle w:val="88"/>
      <w:suff w:val="nothing"/>
      <w:lvlText w:val="%1.%2.%3.%4.%5.%6　"/>
      <w:lvlJc w:val="left"/>
      <w:pPr>
        <w:ind w:left="0" w:firstLine="0"/>
      </w:pPr>
      <w:rPr>
        <w:rFonts w:hint="eastAsia" w:ascii="黑体" w:hAnsi="Times New Roman" w:eastAsia="黑体"/>
        <w:b w:val="0"/>
        <w:i w:val="0"/>
        <w:sz w:val="21"/>
      </w:rPr>
    </w:lvl>
    <w:lvl w:ilvl="6" w:tentative="0">
      <w:start w:val="1"/>
      <w:numFmt w:val="decimal"/>
      <w:pStyle w:val="8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00000010"/>
    <w:multiLevelType w:val="multilevel"/>
    <w:tmpl w:val="00000010"/>
    <w:lvl w:ilvl="0" w:tentative="0">
      <w:start w:val="1"/>
      <w:numFmt w:val="none"/>
      <w:pStyle w:val="117"/>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1"/>
    <w:multiLevelType w:val="multilevel"/>
    <w:tmpl w:val="00000011"/>
    <w:lvl w:ilvl="0" w:tentative="0">
      <w:start w:val="1"/>
      <w:numFmt w:val="none"/>
      <w:pStyle w:val="94"/>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1135"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00000012"/>
    <w:multiLevelType w:val="multilevel"/>
    <w:tmpl w:val="00000012"/>
    <w:lvl w:ilvl="0" w:tentative="0">
      <w:start w:val="1"/>
      <w:numFmt w:val="none"/>
      <w:pStyle w:val="114"/>
      <w:suff w:val="nothing"/>
      <w:lvlText w:val="%1——"/>
      <w:lvlJc w:val="left"/>
      <w:pPr>
        <w:ind w:left="833" w:hanging="408"/>
      </w:pPr>
      <w:rPr>
        <w:rFonts w:hint="eastAsia"/>
      </w:rPr>
    </w:lvl>
    <w:lvl w:ilvl="1" w:tentative="0">
      <w:start w:val="1"/>
      <w:numFmt w:val="bullet"/>
      <w:pStyle w:val="100"/>
      <w:lvlText w:val=""/>
      <w:lvlJc w:val="left"/>
      <w:pPr>
        <w:tabs>
          <w:tab w:val="left" w:pos="760"/>
        </w:tabs>
        <w:ind w:left="1264" w:hanging="413"/>
      </w:pPr>
      <w:rPr>
        <w:rFonts w:hint="default" w:ascii="Symbol" w:hAnsi="Symbol"/>
        <w:color w:val="auto"/>
      </w:rPr>
    </w:lvl>
    <w:lvl w:ilvl="2" w:tentative="0">
      <w:start w:val="1"/>
      <w:numFmt w:val="bullet"/>
      <w:pStyle w:val="105"/>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8">
    <w:nsid w:val="00000013"/>
    <w:multiLevelType w:val="multilevel"/>
    <w:tmpl w:val="00000013"/>
    <w:lvl w:ilvl="0" w:tentative="0">
      <w:start w:val="1"/>
      <w:numFmt w:val="none"/>
      <w:pStyle w:val="63"/>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4"/>
    <w:multiLevelType w:val="multilevel"/>
    <w:tmpl w:val="00000014"/>
    <w:lvl w:ilvl="0" w:tentative="0">
      <w:start w:val="1"/>
      <w:numFmt w:val="decimal"/>
      <w:pStyle w:val="115"/>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00000015"/>
    <w:multiLevelType w:val="multilevel"/>
    <w:tmpl w:val="00000015"/>
    <w:lvl w:ilvl="0" w:tentative="0">
      <w:start w:val="1"/>
      <w:numFmt w:val="none"/>
      <w:pStyle w:val="79"/>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8"/>
  </w:num>
  <w:num w:numId="3">
    <w:abstractNumId w:val="0"/>
  </w:num>
  <w:num w:numId="4">
    <w:abstractNumId w:val="10"/>
  </w:num>
  <w:num w:numId="5">
    <w:abstractNumId w:val="1"/>
  </w:num>
  <w:num w:numId="6">
    <w:abstractNumId w:val="6"/>
  </w:num>
  <w:num w:numId="7">
    <w:abstractNumId w:val="7"/>
  </w:num>
  <w:num w:numId="8">
    <w:abstractNumId w:val="3"/>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zOGJhZmJiYWZmZTRhMzJjZjk0MTRkZmUwNmJiNGQifQ=="/>
  </w:docVars>
  <w:rsids>
    <w:rsidRoot w:val="00172A27"/>
    <w:rsid w:val="000006C8"/>
    <w:rsid w:val="00004943"/>
    <w:rsid w:val="00030E6E"/>
    <w:rsid w:val="0004385A"/>
    <w:rsid w:val="000545FA"/>
    <w:rsid w:val="00057238"/>
    <w:rsid w:val="00064669"/>
    <w:rsid w:val="0006516C"/>
    <w:rsid w:val="00085B58"/>
    <w:rsid w:val="00093AD7"/>
    <w:rsid w:val="000A0B24"/>
    <w:rsid w:val="000A3D03"/>
    <w:rsid w:val="000C47D3"/>
    <w:rsid w:val="000C5430"/>
    <w:rsid w:val="000D1DF1"/>
    <w:rsid w:val="000D222D"/>
    <w:rsid w:val="000D2AE7"/>
    <w:rsid w:val="000D5CEC"/>
    <w:rsid w:val="000F5A09"/>
    <w:rsid w:val="000F6F1E"/>
    <w:rsid w:val="00105EFF"/>
    <w:rsid w:val="001068D6"/>
    <w:rsid w:val="00107E08"/>
    <w:rsid w:val="0011040B"/>
    <w:rsid w:val="001126BD"/>
    <w:rsid w:val="00112C5B"/>
    <w:rsid w:val="00114580"/>
    <w:rsid w:val="00116B8D"/>
    <w:rsid w:val="00127A97"/>
    <w:rsid w:val="001302CB"/>
    <w:rsid w:val="00130967"/>
    <w:rsid w:val="00133489"/>
    <w:rsid w:val="00161699"/>
    <w:rsid w:val="00163DE2"/>
    <w:rsid w:val="00172A27"/>
    <w:rsid w:val="001750FE"/>
    <w:rsid w:val="00180F33"/>
    <w:rsid w:val="00191321"/>
    <w:rsid w:val="00194130"/>
    <w:rsid w:val="001A0D5C"/>
    <w:rsid w:val="001A7A30"/>
    <w:rsid w:val="001B17E1"/>
    <w:rsid w:val="001C4730"/>
    <w:rsid w:val="001D008C"/>
    <w:rsid w:val="001D05EF"/>
    <w:rsid w:val="001D23A0"/>
    <w:rsid w:val="001D2BF2"/>
    <w:rsid w:val="001D3584"/>
    <w:rsid w:val="001D467D"/>
    <w:rsid w:val="001D7F84"/>
    <w:rsid w:val="001F2B36"/>
    <w:rsid w:val="0020105B"/>
    <w:rsid w:val="002061B2"/>
    <w:rsid w:val="00207CA9"/>
    <w:rsid w:val="002126BB"/>
    <w:rsid w:val="00221937"/>
    <w:rsid w:val="00224C72"/>
    <w:rsid w:val="00227B30"/>
    <w:rsid w:val="00233EF2"/>
    <w:rsid w:val="002367F7"/>
    <w:rsid w:val="002428FB"/>
    <w:rsid w:val="002549A1"/>
    <w:rsid w:val="00260743"/>
    <w:rsid w:val="00264C5B"/>
    <w:rsid w:val="00275600"/>
    <w:rsid w:val="00295E2F"/>
    <w:rsid w:val="00297EA0"/>
    <w:rsid w:val="002C2AF2"/>
    <w:rsid w:val="002C6800"/>
    <w:rsid w:val="002D10D1"/>
    <w:rsid w:val="002D16D0"/>
    <w:rsid w:val="002D726A"/>
    <w:rsid w:val="002F5E98"/>
    <w:rsid w:val="003007C9"/>
    <w:rsid w:val="00317599"/>
    <w:rsid w:val="00341264"/>
    <w:rsid w:val="003666BB"/>
    <w:rsid w:val="003801B5"/>
    <w:rsid w:val="00382D6F"/>
    <w:rsid w:val="00385A41"/>
    <w:rsid w:val="0038737A"/>
    <w:rsid w:val="003A4E3C"/>
    <w:rsid w:val="003C275E"/>
    <w:rsid w:val="003C6CFE"/>
    <w:rsid w:val="003C7732"/>
    <w:rsid w:val="003D6DB5"/>
    <w:rsid w:val="003E5A73"/>
    <w:rsid w:val="003F29E7"/>
    <w:rsid w:val="004004FA"/>
    <w:rsid w:val="0040682F"/>
    <w:rsid w:val="00412BE8"/>
    <w:rsid w:val="00420564"/>
    <w:rsid w:val="00420592"/>
    <w:rsid w:val="0043010D"/>
    <w:rsid w:val="00432034"/>
    <w:rsid w:val="00435F19"/>
    <w:rsid w:val="0043691F"/>
    <w:rsid w:val="00441707"/>
    <w:rsid w:val="00442562"/>
    <w:rsid w:val="00456F29"/>
    <w:rsid w:val="00461881"/>
    <w:rsid w:val="00462BE9"/>
    <w:rsid w:val="00464A17"/>
    <w:rsid w:val="00484C40"/>
    <w:rsid w:val="0049058D"/>
    <w:rsid w:val="004C0BEE"/>
    <w:rsid w:val="004C2BBA"/>
    <w:rsid w:val="004D500D"/>
    <w:rsid w:val="004E0CAB"/>
    <w:rsid w:val="004F0F3E"/>
    <w:rsid w:val="0050346A"/>
    <w:rsid w:val="005034F9"/>
    <w:rsid w:val="00507B27"/>
    <w:rsid w:val="00510613"/>
    <w:rsid w:val="00526FA8"/>
    <w:rsid w:val="00531DB4"/>
    <w:rsid w:val="0053540C"/>
    <w:rsid w:val="005355A3"/>
    <w:rsid w:val="00540856"/>
    <w:rsid w:val="00542CCD"/>
    <w:rsid w:val="00545D15"/>
    <w:rsid w:val="00563EDF"/>
    <w:rsid w:val="00572B45"/>
    <w:rsid w:val="00575D56"/>
    <w:rsid w:val="00576DBA"/>
    <w:rsid w:val="00577793"/>
    <w:rsid w:val="00596264"/>
    <w:rsid w:val="00596A4D"/>
    <w:rsid w:val="005977C6"/>
    <w:rsid w:val="005B1316"/>
    <w:rsid w:val="005B4921"/>
    <w:rsid w:val="005B4928"/>
    <w:rsid w:val="005B5A4D"/>
    <w:rsid w:val="005B635D"/>
    <w:rsid w:val="005B71D0"/>
    <w:rsid w:val="005C1EA1"/>
    <w:rsid w:val="005C6E2F"/>
    <w:rsid w:val="005D2F4C"/>
    <w:rsid w:val="005D4757"/>
    <w:rsid w:val="005E187F"/>
    <w:rsid w:val="005E7AB0"/>
    <w:rsid w:val="005E7E31"/>
    <w:rsid w:val="005F4B97"/>
    <w:rsid w:val="00621743"/>
    <w:rsid w:val="00626789"/>
    <w:rsid w:val="00632D5F"/>
    <w:rsid w:val="00637277"/>
    <w:rsid w:val="00643A04"/>
    <w:rsid w:val="0064534F"/>
    <w:rsid w:val="00645B50"/>
    <w:rsid w:val="00656E24"/>
    <w:rsid w:val="00682482"/>
    <w:rsid w:val="006826B8"/>
    <w:rsid w:val="006913D7"/>
    <w:rsid w:val="006B28B5"/>
    <w:rsid w:val="006D1C46"/>
    <w:rsid w:val="006D22A5"/>
    <w:rsid w:val="006E6E43"/>
    <w:rsid w:val="006F046E"/>
    <w:rsid w:val="0070389D"/>
    <w:rsid w:val="00711814"/>
    <w:rsid w:val="00712BB8"/>
    <w:rsid w:val="00712CF6"/>
    <w:rsid w:val="00721BBC"/>
    <w:rsid w:val="00731A44"/>
    <w:rsid w:val="00733CB0"/>
    <w:rsid w:val="007340D3"/>
    <w:rsid w:val="0074410B"/>
    <w:rsid w:val="00752DCF"/>
    <w:rsid w:val="00764FEB"/>
    <w:rsid w:val="00776DCC"/>
    <w:rsid w:val="00784AF0"/>
    <w:rsid w:val="00786F28"/>
    <w:rsid w:val="00794029"/>
    <w:rsid w:val="007B5616"/>
    <w:rsid w:val="007C0431"/>
    <w:rsid w:val="007D5F05"/>
    <w:rsid w:val="007F7133"/>
    <w:rsid w:val="008025D3"/>
    <w:rsid w:val="00802763"/>
    <w:rsid w:val="008040C1"/>
    <w:rsid w:val="00804A87"/>
    <w:rsid w:val="008109AB"/>
    <w:rsid w:val="00827472"/>
    <w:rsid w:val="00830C6C"/>
    <w:rsid w:val="00831174"/>
    <w:rsid w:val="00832EF5"/>
    <w:rsid w:val="00834083"/>
    <w:rsid w:val="00841DBC"/>
    <w:rsid w:val="00850564"/>
    <w:rsid w:val="008551B1"/>
    <w:rsid w:val="00855B71"/>
    <w:rsid w:val="00861EB2"/>
    <w:rsid w:val="00862279"/>
    <w:rsid w:val="00863A59"/>
    <w:rsid w:val="00864CE4"/>
    <w:rsid w:val="00872195"/>
    <w:rsid w:val="008724A9"/>
    <w:rsid w:val="008921E7"/>
    <w:rsid w:val="0089281D"/>
    <w:rsid w:val="00895B45"/>
    <w:rsid w:val="008A1724"/>
    <w:rsid w:val="008C73B5"/>
    <w:rsid w:val="008D7055"/>
    <w:rsid w:val="008E0B92"/>
    <w:rsid w:val="008F4EF4"/>
    <w:rsid w:val="008F655B"/>
    <w:rsid w:val="008F7D1F"/>
    <w:rsid w:val="00900A1A"/>
    <w:rsid w:val="0091032A"/>
    <w:rsid w:val="00940C43"/>
    <w:rsid w:val="00945ADE"/>
    <w:rsid w:val="00950FF4"/>
    <w:rsid w:val="00962CCC"/>
    <w:rsid w:val="00964E3B"/>
    <w:rsid w:val="00985455"/>
    <w:rsid w:val="00987A5E"/>
    <w:rsid w:val="00991911"/>
    <w:rsid w:val="00993EA1"/>
    <w:rsid w:val="0099620C"/>
    <w:rsid w:val="009969D4"/>
    <w:rsid w:val="009A1102"/>
    <w:rsid w:val="009A27E2"/>
    <w:rsid w:val="009A4587"/>
    <w:rsid w:val="009A6CB4"/>
    <w:rsid w:val="009A7557"/>
    <w:rsid w:val="009B100B"/>
    <w:rsid w:val="009B3407"/>
    <w:rsid w:val="009C278B"/>
    <w:rsid w:val="009C6866"/>
    <w:rsid w:val="009E0EE6"/>
    <w:rsid w:val="009E1396"/>
    <w:rsid w:val="009E52F3"/>
    <w:rsid w:val="009E7C49"/>
    <w:rsid w:val="009F190D"/>
    <w:rsid w:val="009F5D87"/>
    <w:rsid w:val="009F6072"/>
    <w:rsid w:val="00A018E5"/>
    <w:rsid w:val="00A11572"/>
    <w:rsid w:val="00A159E5"/>
    <w:rsid w:val="00A21A5C"/>
    <w:rsid w:val="00A21DD7"/>
    <w:rsid w:val="00A22B8E"/>
    <w:rsid w:val="00A34076"/>
    <w:rsid w:val="00A458FB"/>
    <w:rsid w:val="00A5462B"/>
    <w:rsid w:val="00A60BD7"/>
    <w:rsid w:val="00A745B2"/>
    <w:rsid w:val="00A837FA"/>
    <w:rsid w:val="00A858A9"/>
    <w:rsid w:val="00A86F70"/>
    <w:rsid w:val="00A9375F"/>
    <w:rsid w:val="00A951F8"/>
    <w:rsid w:val="00A955FC"/>
    <w:rsid w:val="00AB7043"/>
    <w:rsid w:val="00AC066F"/>
    <w:rsid w:val="00AD4952"/>
    <w:rsid w:val="00AE210C"/>
    <w:rsid w:val="00AE3917"/>
    <w:rsid w:val="00AE58AD"/>
    <w:rsid w:val="00AE73D8"/>
    <w:rsid w:val="00AF4354"/>
    <w:rsid w:val="00AF74AA"/>
    <w:rsid w:val="00AF7CC5"/>
    <w:rsid w:val="00B04F66"/>
    <w:rsid w:val="00B1102E"/>
    <w:rsid w:val="00B12C63"/>
    <w:rsid w:val="00B15E26"/>
    <w:rsid w:val="00B224CE"/>
    <w:rsid w:val="00B44307"/>
    <w:rsid w:val="00B44914"/>
    <w:rsid w:val="00B45D97"/>
    <w:rsid w:val="00B50225"/>
    <w:rsid w:val="00B60137"/>
    <w:rsid w:val="00B614C2"/>
    <w:rsid w:val="00B67BE5"/>
    <w:rsid w:val="00B83D8C"/>
    <w:rsid w:val="00B900AE"/>
    <w:rsid w:val="00B9212F"/>
    <w:rsid w:val="00B96C66"/>
    <w:rsid w:val="00BA409C"/>
    <w:rsid w:val="00BA7B23"/>
    <w:rsid w:val="00BB053D"/>
    <w:rsid w:val="00BB229D"/>
    <w:rsid w:val="00BC17A2"/>
    <w:rsid w:val="00BC1ECD"/>
    <w:rsid w:val="00BE1C75"/>
    <w:rsid w:val="00BE26C2"/>
    <w:rsid w:val="00BE42E4"/>
    <w:rsid w:val="00BF09BA"/>
    <w:rsid w:val="00BF4184"/>
    <w:rsid w:val="00BF72CE"/>
    <w:rsid w:val="00C05CFB"/>
    <w:rsid w:val="00C20764"/>
    <w:rsid w:val="00C22995"/>
    <w:rsid w:val="00C22F60"/>
    <w:rsid w:val="00C4067E"/>
    <w:rsid w:val="00C47089"/>
    <w:rsid w:val="00C55619"/>
    <w:rsid w:val="00C570C0"/>
    <w:rsid w:val="00C5756E"/>
    <w:rsid w:val="00C63A06"/>
    <w:rsid w:val="00C66EAE"/>
    <w:rsid w:val="00C76F56"/>
    <w:rsid w:val="00C93A81"/>
    <w:rsid w:val="00CA1208"/>
    <w:rsid w:val="00CA243F"/>
    <w:rsid w:val="00CA4508"/>
    <w:rsid w:val="00CA5A79"/>
    <w:rsid w:val="00CB7E3D"/>
    <w:rsid w:val="00CC6702"/>
    <w:rsid w:val="00CD78E0"/>
    <w:rsid w:val="00CE254A"/>
    <w:rsid w:val="00CF22B2"/>
    <w:rsid w:val="00CF3DC2"/>
    <w:rsid w:val="00D00671"/>
    <w:rsid w:val="00D11DFD"/>
    <w:rsid w:val="00D14A0F"/>
    <w:rsid w:val="00D160F5"/>
    <w:rsid w:val="00D248F6"/>
    <w:rsid w:val="00D24A3C"/>
    <w:rsid w:val="00D34287"/>
    <w:rsid w:val="00D458B6"/>
    <w:rsid w:val="00D546D0"/>
    <w:rsid w:val="00D611F3"/>
    <w:rsid w:val="00D64B5A"/>
    <w:rsid w:val="00D677F7"/>
    <w:rsid w:val="00D715C6"/>
    <w:rsid w:val="00D778B8"/>
    <w:rsid w:val="00DA2528"/>
    <w:rsid w:val="00DA5B23"/>
    <w:rsid w:val="00DA7123"/>
    <w:rsid w:val="00DD068F"/>
    <w:rsid w:val="00DE1A3F"/>
    <w:rsid w:val="00DF067C"/>
    <w:rsid w:val="00DF6B1C"/>
    <w:rsid w:val="00E0178F"/>
    <w:rsid w:val="00E0180A"/>
    <w:rsid w:val="00E1634D"/>
    <w:rsid w:val="00E21648"/>
    <w:rsid w:val="00E22CBB"/>
    <w:rsid w:val="00E230ED"/>
    <w:rsid w:val="00E27C02"/>
    <w:rsid w:val="00E43C72"/>
    <w:rsid w:val="00E47C5B"/>
    <w:rsid w:val="00E63C12"/>
    <w:rsid w:val="00E664DC"/>
    <w:rsid w:val="00E678F2"/>
    <w:rsid w:val="00E72D1D"/>
    <w:rsid w:val="00E7332B"/>
    <w:rsid w:val="00E7345F"/>
    <w:rsid w:val="00E737E0"/>
    <w:rsid w:val="00E746F6"/>
    <w:rsid w:val="00E87111"/>
    <w:rsid w:val="00E9423E"/>
    <w:rsid w:val="00E96743"/>
    <w:rsid w:val="00E97A8F"/>
    <w:rsid w:val="00EA553D"/>
    <w:rsid w:val="00EB4574"/>
    <w:rsid w:val="00EC2B7B"/>
    <w:rsid w:val="00ED38A3"/>
    <w:rsid w:val="00EE023A"/>
    <w:rsid w:val="00EF1A69"/>
    <w:rsid w:val="00EF388D"/>
    <w:rsid w:val="00EF484F"/>
    <w:rsid w:val="00EF7135"/>
    <w:rsid w:val="00F04D7C"/>
    <w:rsid w:val="00F058DF"/>
    <w:rsid w:val="00F10546"/>
    <w:rsid w:val="00F14B27"/>
    <w:rsid w:val="00F15635"/>
    <w:rsid w:val="00F16AD9"/>
    <w:rsid w:val="00F24BB7"/>
    <w:rsid w:val="00F3282F"/>
    <w:rsid w:val="00F346D4"/>
    <w:rsid w:val="00F34CF6"/>
    <w:rsid w:val="00F36EFE"/>
    <w:rsid w:val="00F374FC"/>
    <w:rsid w:val="00F41395"/>
    <w:rsid w:val="00F4303E"/>
    <w:rsid w:val="00F44DE8"/>
    <w:rsid w:val="00F53368"/>
    <w:rsid w:val="00F5550D"/>
    <w:rsid w:val="00F655E9"/>
    <w:rsid w:val="00F83281"/>
    <w:rsid w:val="00F850E2"/>
    <w:rsid w:val="00F86E4A"/>
    <w:rsid w:val="00F97FFC"/>
    <w:rsid w:val="00FA5108"/>
    <w:rsid w:val="00FA5111"/>
    <w:rsid w:val="00FB33E6"/>
    <w:rsid w:val="00FB5668"/>
    <w:rsid w:val="00FC034D"/>
    <w:rsid w:val="00FC17ED"/>
    <w:rsid w:val="00FC5D61"/>
    <w:rsid w:val="00FE0608"/>
    <w:rsid w:val="00FE1215"/>
    <w:rsid w:val="00FF72BE"/>
    <w:rsid w:val="012959E5"/>
    <w:rsid w:val="029B3908"/>
    <w:rsid w:val="047777E2"/>
    <w:rsid w:val="06320B6C"/>
    <w:rsid w:val="083D258F"/>
    <w:rsid w:val="09283D8B"/>
    <w:rsid w:val="0A1B3C93"/>
    <w:rsid w:val="0A4263D6"/>
    <w:rsid w:val="0ABC49A7"/>
    <w:rsid w:val="105776B1"/>
    <w:rsid w:val="10C76DC2"/>
    <w:rsid w:val="11F13E84"/>
    <w:rsid w:val="125D1B7A"/>
    <w:rsid w:val="14A86F42"/>
    <w:rsid w:val="157E4BE2"/>
    <w:rsid w:val="15BC6D4C"/>
    <w:rsid w:val="199B38A0"/>
    <w:rsid w:val="1A6908EE"/>
    <w:rsid w:val="1F3A47FB"/>
    <w:rsid w:val="1F865D8A"/>
    <w:rsid w:val="20187DF7"/>
    <w:rsid w:val="23536146"/>
    <w:rsid w:val="2421050E"/>
    <w:rsid w:val="24753222"/>
    <w:rsid w:val="250A44A9"/>
    <w:rsid w:val="25DC42E3"/>
    <w:rsid w:val="25F04548"/>
    <w:rsid w:val="26E37D1A"/>
    <w:rsid w:val="2AB15175"/>
    <w:rsid w:val="2BE55803"/>
    <w:rsid w:val="2C396D7C"/>
    <w:rsid w:val="2C8B7205"/>
    <w:rsid w:val="2D0B4416"/>
    <w:rsid w:val="2D8C3DD6"/>
    <w:rsid w:val="2EB41CAD"/>
    <w:rsid w:val="307009F8"/>
    <w:rsid w:val="307355F9"/>
    <w:rsid w:val="30E83532"/>
    <w:rsid w:val="31894B9A"/>
    <w:rsid w:val="31903639"/>
    <w:rsid w:val="342F7A89"/>
    <w:rsid w:val="35FE17A4"/>
    <w:rsid w:val="37B87AFC"/>
    <w:rsid w:val="381C66BE"/>
    <w:rsid w:val="39535EE8"/>
    <w:rsid w:val="3B5C58C6"/>
    <w:rsid w:val="3C125CDA"/>
    <w:rsid w:val="3C5313C1"/>
    <w:rsid w:val="3DC80510"/>
    <w:rsid w:val="3DEF024D"/>
    <w:rsid w:val="40332C83"/>
    <w:rsid w:val="40FF5BB5"/>
    <w:rsid w:val="411D23B2"/>
    <w:rsid w:val="41DA18BC"/>
    <w:rsid w:val="422C6FD7"/>
    <w:rsid w:val="433824EC"/>
    <w:rsid w:val="47D767D5"/>
    <w:rsid w:val="4A321468"/>
    <w:rsid w:val="4B4027C7"/>
    <w:rsid w:val="4C4A30FA"/>
    <w:rsid w:val="4CA010CC"/>
    <w:rsid w:val="4CD971A6"/>
    <w:rsid w:val="4E6D13A8"/>
    <w:rsid w:val="4F0839F9"/>
    <w:rsid w:val="4FBB33F2"/>
    <w:rsid w:val="514E4265"/>
    <w:rsid w:val="51627AF0"/>
    <w:rsid w:val="52C33F3F"/>
    <w:rsid w:val="52DC0C1A"/>
    <w:rsid w:val="52FD2951"/>
    <w:rsid w:val="53B04824"/>
    <w:rsid w:val="53F436F6"/>
    <w:rsid w:val="544A5D0C"/>
    <w:rsid w:val="55265861"/>
    <w:rsid w:val="55872634"/>
    <w:rsid w:val="55FD30EB"/>
    <w:rsid w:val="5814779C"/>
    <w:rsid w:val="584031FB"/>
    <w:rsid w:val="5AA01EB9"/>
    <w:rsid w:val="5B972C87"/>
    <w:rsid w:val="5BA11906"/>
    <w:rsid w:val="5BCA5020"/>
    <w:rsid w:val="5C05604E"/>
    <w:rsid w:val="5C9B6A8D"/>
    <w:rsid w:val="5FA61EF5"/>
    <w:rsid w:val="5FF915BF"/>
    <w:rsid w:val="607650C5"/>
    <w:rsid w:val="60D9275A"/>
    <w:rsid w:val="61172548"/>
    <w:rsid w:val="63B364D2"/>
    <w:rsid w:val="64060563"/>
    <w:rsid w:val="644D2584"/>
    <w:rsid w:val="64A75EDE"/>
    <w:rsid w:val="64B165B0"/>
    <w:rsid w:val="6578278E"/>
    <w:rsid w:val="65AF2D7E"/>
    <w:rsid w:val="66F27B75"/>
    <w:rsid w:val="68F83761"/>
    <w:rsid w:val="69932680"/>
    <w:rsid w:val="6C3B49A4"/>
    <w:rsid w:val="6CF765D7"/>
    <w:rsid w:val="6EB0675E"/>
    <w:rsid w:val="72653C6E"/>
    <w:rsid w:val="72817B8A"/>
    <w:rsid w:val="745874A6"/>
    <w:rsid w:val="751F3BEB"/>
    <w:rsid w:val="75F879FD"/>
    <w:rsid w:val="761A043A"/>
    <w:rsid w:val="77191B75"/>
    <w:rsid w:val="77E06EA1"/>
    <w:rsid w:val="7A5272C3"/>
    <w:rsid w:val="7ADF0AE2"/>
    <w:rsid w:val="7B4441DD"/>
    <w:rsid w:val="7CD87EFE"/>
    <w:rsid w:val="7CEE6398"/>
    <w:rsid w:val="7D8F43ED"/>
    <w:rsid w:val="7DC97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6"/>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50"/>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qFormat/>
    <w:uiPriority w:val="0"/>
    <w:pPr>
      <w:keepNext/>
      <w:keepLines/>
      <w:spacing w:before="280" w:after="290" w:line="376" w:lineRule="auto"/>
      <w:outlineLvl w:val="4"/>
    </w:pPr>
    <w:rPr>
      <w:b/>
      <w:bCs/>
      <w:sz w:val="28"/>
      <w:szCs w:val="28"/>
    </w:rPr>
  </w:style>
  <w:style w:type="paragraph" w:styleId="7">
    <w:name w:val="heading 6"/>
    <w:basedOn w:val="1"/>
    <w:next w:val="1"/>
    <w:autoRedefine/>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autoRedefine/>
    <w:qFormat/>
    <w:uiPriority w:val="0"/>
    <w:pPr>
      <w:keepNext/>
      <w:keepLines/>
      <w:spacing w:before="240" w:after="64" w:line="320" w:lineRule="auto"/>
      <w:outlineLvl w:val="6"/>
    </w:pPr>
    <w:rPr>
      <w:b/>
      <w:bCs/>
      <w:sz w:val="24"/>
    </w:rPr>
  </w:style>
  <w:style w:type="paragraph" w:styleId="9">
    <w:name w:val="heading 8"/>
    <w:basedOn w:val="1"/>
    <w:next w:val="1"/>
    <w:autoRedefine/>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autoRedefine/>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11">
    <w:name w:val="toc 7"/>
    <w:basedOn w:val="12"/>
    <w:next w:val="1"/>
    <w:autoRedefine/>
    <w:qFormat/>
    <w:uiPriority w:val="0"/>
  </w:style>
  <w:style w:type="paragraph" w:styleId="12">
    <w:name w:val="toc 6"/>
    <w:basedOn w:val="13"/>
    <w:next w:val="1"/>
    <w:autoRedefine/>
    <w:qFormat/>
    <w:uiPriority w:val="0"/>
  </w:style>
  <w:style w:type="paragraph" w:styleId="13">
    <w:name w:val="toc 5"/>
    <w:basedOn w:val="14"/>
    <w:next w:val="1"/>
    <w:autoRedefine/>
    <w:qFormat/>
    <w:uiPriority w:val="0"/>
  </w:style>
  <w:style w:type="paragraph" w:styleId="14">
    <w:name w:val="toc 4"/>
    <w:basedOn w:val="15"/>
    <w:next w:val="1"/>
    <w:autoRedefine/>
    <w:qFormat/>
    <w:uiPriority w:val="0"/>
  </w:style>
  <w:style w:type="paragraph" w:styleId="15">
    <w:name w:val="toc 3"/>
    <w:basedOn w:val="16"/>
    <w:next w:val="1"/>
    <w:autoRedefine/>
    <w:qFormat/>
    <w:uiPriority w:val="39"/>
  </w:style>
  <w:style w:type="paragraph" w:styleId="16">
    <w:name w:val="toc 2"/>
    <w:basedOn w:val="17"/>
    <w:next w:val="1"/>
    <w:autoRedefine/>
    <w:qFormat/>
    <w:uiPriority w:val="39"/>
  </w:style>
  <w:style w:type="paragraph" w:styleId="17">
    <w:name w:val="toc 1"/>
    <w:next w:val="1"/>
    <w:autoRedefine/>
    <w:qFormat/>
    <w:uiPriority w:val="39"/>
    <w:pPr>
      <w:jc w:val="both"/>
    </w:pPr>
    <w:rPr>
      <w:rFonts w:ascii="宋体" w:hAnsi="Times New Roman" w:eastAsia="宋体" w:cs="Times New Roman"/>
      <w:sz w:val="21"/>
      <w:lang w:val="en-US" w:eastAsia="zh-CN" w:bidi="ar-SA"/>
    </w:rPr>
  </w:style>
  <w:style w:type="paragraph" w:styleId="18">
    <w:name w:val="annotation text"/>
    <w:basedOn w:val="1"/>
    <w:link w:val="119"/>
    <w:autoRedefine/>
    <w:qFormat/>
    <w:uiPriority w:val="0"/>
    <w:pPr>
      <w:jc w:val="left"/>
    </w:pPr>
  </w:style>
  <w:style w:type="paragraph" w:styleId="19">
    <w:name w:val="Body Text Indent"/>
    <w:basedOn w:val="1"/>
    <w:link w:val="122"/>
    <w:autoRedefine/>
    <w:qFormat/>
    <w:uiPriority w:val="0"/>
    <w:pPr>
      <w:spacing w:line="288" w:lineRule="auto"/>
      <w:ind w:firstLine="420" w:firstLineChars="257"/>
      <w:jc w:val="center"/>
    </w:pPr>
    <w:rPr>
      <w:rFonts w:ascii="宋体" w:hAnsi="宋体"/>
      <w:sz w:val="23"/>
    </w:rPr>
  </w:style>
  <w:style w:type="paragraph" w:styleId="20">
    <w:name w:val="HTML Address"/>
    <w:basedOn w:val="1"/>
    <w:autoRedefine/>
    <w:qFormat/>
    <w:uiPriority w:val="0"/>
    <w:rPr>
      <w:i/>
      <w:iCs/>
    </w:rPr>
  </w:style>
  <w:style w:type="paragraph" w:styleId="21">
    <w:name w:val="Plain Text"/>
    <w:basedOn w:val="1"/>
    <w:link w:val="123"/>
    <w:autoRedefine/>
    <w:unhideWhenUsed/>
    <w:qFormat/>
    <w:uiPriority w:val="0"/>
    <w:rPr>
      <w:rFonts w:ascii="宋体" w:hAnsi="Courier New" w:cs="Courier New"/>
      <w:szCs w:val="21"/>
    </w:rPr>
  </w:style>
  <w:style w:type="paragraph" w:styleId="22">
    <w:name w:val="toc 8"/>
    <w:basedOn w:val="11"/>
    <w:next w:val="1"/>
    <w:autoRedefine/>
    <w:qFormat/>
    <w:uiPriority w:val="0"/>
  </w:style>
  <w:style w:type="paragraph" w:styleId="23">
    <w:name w:val="Date"/>
    <w:basedOn w:val="1"/>
    <w:next w:val="1"/>
    <w:link w:val="124"/>
    <w:autoRedefine/>
    <w:unhideWhenUsed/>
    <w:qFormat/>
    <w:uiPriority w:val="0"/>
    <w:pPr>
      <w:ind w:left="100" w:leftChars="2500"/>
    </w:pPr>
  </w:style>
  <w:style w:type="paragraph" w:styleId="24">
    <w:name w:val="Balloon Text"/>
    <w:basedOn w:val="1"/>
    <w:link w:val="52"/>
    <w:autoRedefine/>
    <w:qFormat/>
    <w:uiPriority w:val="0"/>
    <w:rPr>
      <w:sz w:val="18"/>
      <w:szCs w:val="18"/>
    </w:rPr>
  </w:style>
  <w:style w:type="paragraph" w:styleId="25">
    <w:name w:val="footer"/>
    <w:basedOn w:val="1"/>
    <w:link w:val="50"/>
    <w:autoRedefine/>
    <w:qFormat/>
    <w:uiPriority w:val="0"/>
    <w:pPr>
      <w:tabs>
        <w:tab w:val="center" w:pos="4153"/>
        <w:tab w:val="right" w:pos="8306"/>
      </w:tabs>
      <w:snapToGrid w:val="0"/>
      <w:ind w:right="210" w:rightChars="100"/>
      <w:jc w:val="right"/>
    </w:pPr>
    <w:rPr>
      <w:sz w:val="18"/>
      <w:szCs w:val="18"/>
    </w:rPr>
  </w:style>
  <w:style w:type="paragraph" w:styleId="26">
    <w:name w:val="header"/>
    <w:basedOn w:val="1"/>
    <w:link w:val="125"/>
    <w:autoRedefine/>
    <w:qFormat/>
    <w:uiPriority w:val="0"/>
    <w:pPr>
      <w:pBdr>
        <w:bottom w:val="single" w:color="auto" w:sz="6" w:space="1"/>
      </w:pBdr>
      <w:tabs>
        <w:tab w:val="center" w:pos="4153"/>
        <w:tab w:val="right" w:pos="8306"/>
      </w:tabs>
      <w:snapToGrid w:val="0"/>
      <w:jc w:val="center"/>
    </w:pPr>
    <w:rPr>
      <w:sz w:val="18"/>
      <w:szCs w:val="18"/>
    </w:rPr>
  </w:style>
  <w:style w:type="paragraph" w:styleId="27">
    <w:name w:val="footnote text"/>
    <w:basedOn w:val="1"/>
    <w:autoRedefine/>
    <w:qFormat/>
    <w:uiPriority w:val="0"/>
    <w:pPr>
      <w:snapToGrid w:val="0"/>
      <w:jc w:val="left"/>
    </w:pPr>
    <w:rPr>
      <w:sz w:val="18"/>
      <w:szCs w:val="18"/>
    </w:rPr>
  </w:style>
  <w:style w:type="paragraph" w:styleId="28">
    <w:name w:val="toc 9"/>
    <w:basedOn w:val="22"/>
    <w:next w:val="1"/>
    <w:autoRedefine/>
    <w:qFormat/>
    <w:uiPriority w:val="0"/>
  </w:style>
  <w:style w:type="paragraph" w:styleId="29">
    <w:name w:val="HTML Preformatted"/>
    <w:basedOn w:val="1"/>
    <w:autoRedefine/>
    <w:qFormat/>
    <w:uiPriority w:val="0"/>
    <w:rPr>
      <w:rFonts w:ascii="Courier New" w:hAnsi="Courier New" w:cs="Courier New"/>
      <w:sz w:val="20"/>
      <w:szCs w:val="20"/>
    </w:rPr>
  </w:style>
  <w:style w:type="paragraph" w:styleId="3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1">
    <w:name w:val="Title"/>
    <w:basedOn w:val="1"/>
    <w:autoRedefine/>
    <w:qFormat/>
    <w:uiPriority w:val="0"/>
    <w:pPr>
      <w:spacing w:before="240" w:after="60"/>
      <w:jc w:val="center"/>
      <w:outlineLvl w:val="0"/>
    </w:pPr>
    <w:rPr>
      <w:rFonts w:ascii="Arial" w:hAnsi="Arial" w:cs="Arial"/>
      <w:b/>
      <w:bCs/>
      <w:sz w:val="32"/>
      <w:szCs w:val="32"/>
    </w:rPr>
  </w:style>
  <w:style w:type="paragraph" w:styleId="32">
    <w:name w:val="annotation subject"/>
    <w:basedOn w:val="18"/>
    <w:next w:val="18"/>
    <w:link w:val="120"/>
    <w:autoRedefine/>
    <w:qFormat/>
    <w:uiPriority w:val="0"/>
    <w:rPr>
      <w:b/>
      <w:bCs/>
    </w:rPr>
  </w:style>
  <w:style w:type="table" w:styleId="34">
    <w:name w:val="Table Grid"/>
    <w:basedOn w:val="33"/>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page number"/>
    <w:basedOn w:val="35"/>
    <w:autoRedefine/>
    <w:qFormat/>
    <w:uiPriority w:val="0"/>
    <w:rPr>
      <w:rFonts w:ascii="Times New Roman" w:hAnsi="Times New Roman" w:eastAsia="宋体"/>
      <w:sz w:val="18"/>
    </w:rPr>
  </w:style>
  <w:style w:type="character" w:styleId="37">
    <w:name w:val="HTML Definition"/>
    <w:basedOn w:val="35"/>
    <w:qFormat/>
    <w:uiPriority w:val="0"/>
    <w:rPr>
      <w:i/>
      <w:iCs/>
    </w:rPr>
  </w:style>
  <w:style w:type="character" w:styleId="38">
    <w:name w:val="HTML Typewriter"/>
    <w:basedOn w:val="35"/>
    <w:qFormat/>
    <w:uiPriority w:val="0"/>
    <w:rPr>
      <w:rFonts w:ascii="Courier New" w:hAnsi="Courier New"/>
      <w:sz w:val="20"/>
      <w:szCs w:val="20"/>
    </w:rPr>
  </w:style>
  <w:style w:type="character" w:styleId="39">
    <w:name w:val="HTML Acronym"/>
    <w:basedOn w:val="35"/>
    <w:qFormat/>
    <w:uiPriority w:val="0"/>
  </w:style>
  <w:style w:type="character" w:styleId="40">
    <w:name w:val="HTML Variable"/>
    <w:basedOn w:val="35"/>
    <w:qFormat/>
    <w:uiPriority w:val="0"/>
    <w:rPr>
      <w:i/>
      <w:iCs/>
    </w:rPr>
  </w:style>
  <w:style w:type="character" w:styleId="41">
    <w:name w:val="Hyperlink"/>
    <w:qFormat/>
    <w:uiPriority w:val="99"/>
    <w:rPr>
      <w:rFonts w:ascii="Times New Roman" w:hAnsi="Times New Roman" w:eastAsia="宋体"/>
      <w:color w:val="auto"/>
      <w:spacing w:val="0"/>
      <w:w w:val="100"/>
      <w:position w:val="0"/>
      <w:sz w:val="21"/>
      <w:u w:val="none"/>
      <w:vertAlign w:val="baseline"/>
    </w:rPr>
  </w:style>
  <w:style w:type="character" w:styleId="42">
    <w:name w:val="HTML Code"/>
    <w:basedOn w:val="35"/>
    <w:qFormat/>
    <w:uiPriority w:val="0"/>
    <w:rPr>
      <w:rFonts w:ascii="Courier New" w:hAnsi="Courier New"/>
      <w:sz w:val="20"/>
      <w:szCs w:val="20"/>
    </w:rPr>
  </w:style>
  <w:style w:type="character" w:styleId="43">
    <w:name w:val="annotation reference"/>
    <w:basedOn w:val="35"/>
    <w:qFormat/>
    <w:uiPriority w:val="0"/>
    <w:rPr>
      <w:sz w:val="21"/>
      <w:szCs w:val="21"/>
    </w:rPr>
  </w:style>
  <w:style w:type="character" w:styleId="44">
    <w:name w:val="HTML Cite"/>
    <w:basedOn w:val="35"/>
    <w:qFormat/>
    <w:uiPriority w:val="0"/>
    <w:rPr>
      <w:i/>
      <w:iCs/>
    </w:rPr>
  </w:style>
  <w:style w:type="character" w:styleId="45">
    <w:name w:val="footnote reference"/>
    <w:basedOn w:val="35"/>
    <w:qFormat/>
    <w:uiPriority w:val="0"/>
    <w:rPr>
      <w:vertAlign w:val="superscript"/>
    </w:rPr>
  </w:style>
  <w:style w:type="character" w:styleId="46">
    <w:name w:val="HTML Keyboard"/>
    <w:basedOn w:val="35"/>
    <w:qFormat/>
    <w:uiPriority w:val="0"/>
    <w:rPr>
      <w:rFonts w:ascii="Courier New" w:hAnsi="Courier New"/>
      <w:sz w:val="20"/>
      <w:szCs w:val="20"/>
    </w:rPr>
  </w:style>
  <w:style w:type="character" w:styleId="47">
    <w:name w:val="HTML Sample"/>
    <w:basedOn w:val="35"/>
    <w:qFormat/>
    <w:uiPriority w:val="0"/>
    <w:rPr>
      <w:rFonts w:ascii="Courier New" w:hAnsi="Courier New"/>
    </w:rPr>
  </w:style>
  <w:style w:type="character" w:customStyle="1" w:styleId="48">
    <w:name w:val="发布"/>
    <w:basedOn w:val="35"/>
    <w:qFormat/>
    <w:uiPriority w:val="0"/>
    <w:rPr>
      <w:rFonts w:ascii="黑体" w:eastAsia="黑体"/>
      <w:spacing w:val="22"/>
      <w:w w:val="100"/>
      <w:position w:val="3"/>
      <w:sz w:val="28"/>
    </w:rPr>
  </w:style>
  <w:style w:type="character" w:customStyle="1" w:styleId="49">
    <w:name w:val="个人答复风格"/>
    <w:basedOn w:val="35"/>
    <w:qFormat/>
    <w:uiPriority w:val="0"/>
    <w:rPr>
      <w:rFonts w:ascii="Arial" w:hAnsi="Arial" w:eastAsia="宋体" w:cs="Arial"/>
      <w:color w:val="auto"/>
      <w:sz w:val="20"/>
    </w:rPr>
  </w:style>
  <w:style w:type="character" w:customStyle="1" w:styleId="50">
    <w:name w:val="页脚 字符"/>
    <w:basedOn w:val="35"/>
    <w:link w:val="25"/>
    <w:qFormat/>
    <w:uiPriority w:val="0"/>
    <w:rPr>
      <w:kern w:val="2"/>
      <w:sz w:val="18"/>
      <w:szCs w:val="18"/>
    </w:rPr>
  </w:style>
  <w:style w:type="character" w:customStyle="1" w:styleId="51">
    <w:name w:val="个人撰写风格"/>
    <w:basedOn w:val="35"/>
    <w:qFormat/>
    <w:uiPriority w:val="0"/>
    <w:rPr>
      <w:rFonts w:ascii="Arial" w:hAnsi="Arial" w:eastAsia="宋体" w:cs="Arial"/>
      <w:color w:val="auto"/>
      <w:sz w:val="20"/>
    </w:rPr>
  </w:style>
  <w:style w:type="character" w:customStyle="1" w:styleId="52">
    <w:name w:val="批注框文本 字符"/>
    <w:basedOn w:val="35"/>
    <w:link w:val="24"/>
    <w:qFormat/>
    <w:uiPriority w:val="0"/>
    <w:rPr>
      <w:kern w:val="2"/>
      <w:sz w:val="18"/>
      <w:szCs w:val="18"/>
    </w:rPr>
  </w:style>
  <w:style w:type="paragraph" w:customStyle="1" w:styleId="53">
    <w:name w:val="发布日期"/>
    <w:qFormat/>
    <w:uiPriority w:val="0"/>
    <w:rPr>
      <w:rFonts w:ascii="Times New Roman" w:hAnsi="Times New Roman" w:eastAsia="黑体" w:cs="Times New Roman"/>
      <w:sz w:val="28"/>
      <w:lang w:val="en-US" w:eastAsia="zh-CN" w:bidi="ar-SA"/>
    </w:rPr>
  </w:style>
  <w:style w:type="paragraph" w:customStyle="1" w:styleId="54">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5">
    <w:name w:val="附录一级条标题"/>
    <w:basedOn w:val="56"/>
    <w:next w:val="57"/>
    <w:qFormat/>
    <w:uiPriority w:val="0"/>
    <w:pPr>
      <w:numPr>
        <w:ilvl w:val="2"/>
      </w:numPr>
      <w:tabs>
        <w:tab w:val="left" w:pos="360"/>
      </w:tabs>
      <w:autoSpaceDN w:val="0"/>
      <w:spacing w:beforeLines="0" w:afterLines="0"/>
      <w:outlineLvl w:val="2"/>
    </w:pPr>
  </w:style>
  <w:style w:type="paragraph" w:customStyle="1" w:styleId="56">
    <w:name w:val="附录章标题"/>
    <w:next w:val="57"/>
    <w:qFormat/>
    <w:uiPriority w:val="0"/>
    <w:pPr>
      <w:numPr>
        <w:ilvl w:val="1"/>
        <w:numId w:val="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57">
    <w:name w:val="段"/>
    <w:link w:val="12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9">
    <w:name w:val="三级条标题"/>
    <w:basedOn w:val="60"/>
    <w:next w:val="57"/>
    <w:qFormat/>
    <w:uiPriority w:val="0"/>
    <w:pPr>
      <w:tabs>
        <w:tab w:val="left" w:pos="360"/>
      </w:tabs>
      <w:outlineLvl w:val="4"/>
    </w:pPr>
  </w:style>
  <w:style w:type="paragraph" w:customStyle="1" w:styleId="60">
    <w:name w:val="二级条标题"/>
    <w:basedOn w:val="61"/>
    <w:next w:val="57"/>
    <w:link w:val="138"/>
    <w:qFormat/>
    <w:uiPriority w:val="0"/>
    <w:pPr>
      <w:tabs>
        <w:tab w:val="left" w:pos="360"/>
      </w:tabs>
      <w:outlineLvl w:val="3"/>
    </w:pPr>
  </w:style>
  <w:style w:type="paragraph" w:customStyle="1" w:styleId="61">
    <w:name w:val="一级条标题"/>
    <w:basedOn w:val="62"/>
    <w:next w:val="57"/>
    <w:link w:val="137"/>
    <w:qFormat/>
    <w:uiPriority w:val="0"/>
    <w:pPr>
      <w:tabs>
        <w:tab w:val="left" w:pos="360"/>
      </w:tabs>
      <w:spacing w:beforeLines="0" w:afterLines="0"/>
      <w:outlineLvl w:val="2"/>
    </w:pPr>
  </w:style>
  <w:style w:type="paragraph" w:customStyle="1" w:styleId="62">
    <w:name w:val="章标题"/>
    <w:next w:val="57"/>
    <w:link w:val="157"/>
    <w:qFormat/>
    <w:uiPriority w:val="0"/>
    <w:pPr>
      <w:tabs>
        <w:tab w:val="left" w:pos="360"/>
      </w:tabs>
      <w:spacing w:beforeLines="50" w:afterLines="50"/>
      <w:ind w:left="1135"/>
      <w:jc w:val="both"/>
      <w:outlineLvl w:val="1"/>
    </w:pPr>
    <w:rPr>
      <w:rFonts w:ascii="黑体" w:hAnsi="Times New Roman" w:eastAsia="黑体" w:cs="Times New Roman"/>
      <w:sz w:val="21"/>
      <w:lang w:val="en-US" w:eastAsia="zh-CN" w:bidi="ar-SA"/>
    </w:rPr>
  </w:style>
  <w:style w:type="paragraph" w:customStyle="1" w:styleId="63">
    <w:name w:val="列项·"/>
    <w:qFormat/>
    <w:uiPriority w:val="0"/>
    <w:pPr>
      <w:numPr>
        <w:ilvl w:val="0"/>
        <w:numId w:val="2"/>
      </w:numPr>
      <w:tabs>
        <w:tab w:val="left" w:pos="360"/>
        <w:tab w:val="left" w:pos="840"/>
        <w:tab w:val="clear" w:pos="1140"/>
      </w:tabs>
      <w:ind w:left="0" w:firstLine="0"/>
      <w:jc w:val="both"/>
    </w:pPr>
    <w:rPr>
      <w:rFonts w:ascii="宋体" w:hAnsi="Times New Roman" w:eastAsia="宋体" w:cs="Times New Roman"/>
      <w:sz w:val="21"/>
      <w:lang w:val="en-US" w:eastAsia="zh-CN" w:bidi="ar-SA"/>
    </w:rPr>
  </w:style>
  <w:style w:type="paragraph" w:customStyle="1" w:styleId="64">
    <w:name w:val="封面标准名称"/>
    <w:qFormat/>
    <w:uiPriority w:val="99"/>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5">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66">
    <w:name w:val="发布部门"/>
    <w:next w:val="57"/>
    <w:qFormat/>
    <w:uiPriority w:val="0"/>
    <w:pPr>
      <w:jc w:val="center"/>
    </w:pPr>
    <w:rPr>
      <w:rFonts w:ascii="宋体" w:hAnsi="Times New Roman" w:eastAsia="宋体" w:cs="Times New Roman"/>
      <w:b/>
      <w:spacing w:val="20"/>
      <w:w w:val="135"/>
      <w:sz w:val="36"/>
      <w:lang w:val="en-US" w:eastAsia="zh-CN" w:bidi="ar-SA"/>
    </w:rPr>
  </w:style>
  <w:style w:type="paragraph" w:customStyle="1" w:styleId="67">
    <w:name w:val="文献分类号"/>
    <w:qFormat/>
    <w:uiPriority w:val="99"/>
    <w:pPr>
      <w:widowControl w:val="0"/>
      <w:textAlignment w:val="center"/>
    </w:pPr>
    <w:rPr>
      <w:rFonts w:ascii="Times New Roman" w:hAnsi="Times New Roman" w:eastAsia="黑体" w:cs="Times New Roman"/>
      <w:sz w:val="21"/>
      <w:lang w:val="en-US" w:eastAsia="zh-CN" w:bidi="ar-SA"/>
    </w:rPr>
  </w:style>
  <w:style w:type="paragraph" w:customStyle="1" w:styleId="68">
    <w:name w:val="附录二级条标题"/>
    <w:basedOn w:val="55"/>
    <w:next w:val="57"/>
    <w:qFormat/>
    <w:uiPriority w:val="0"/>
    <w:pPr>
      <w:numPr>
        <w:ilvl w:val="3"/>
      </w:numPr>
      <w:outlineLvl w:val="3"/>
    </w:pPr>
  </w:style>
  <w:style w:type="paragraph" w:customStyle="1" w:styleId="69">
    <w:name w:val="图表脚注"/>
    <w:next w:val="57"/>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70">
    <w:name w:val="附录三级条标题"/>
    <w:basedOn w:val="68"/>
    <w:next w:val="57"/>
    <w:qFormat/>
    <w:uiPriority w:val="0"/>
    <w:pPr>
      <w:numPr>
        <w:ilvl w:val="4"/>
      </w:numPr>
      <w:outlineLvl w:val="4"/>
    </w:pPr>
  </w:style>
  <w:style w:type="paragraph" w:customStyle="1" w:styleId="71">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72">
    <w:name w:val="四级无标题条"/>
    <w:basedOn w:val="1"/>
    <w:qFormat/>
    <w:uiPriority w:val="0"/>
    <w:pPr>
      <w:numPr>
        <w:ilvl w:val="5"/>
        <w:numId w:val="3"/>
      </w:numPr>
    </w:pPr>
  </w:style>
  <w:style w:type="paragraph" w:customStyle="1" w:styleId="7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4">
    <w:name w:val="标准书眉_偶数页"/>
    <w:basedOn w:val="75"/>
    <w:next w:val="1"/>
    <w:qFormat/>
    <w:uiPriority w:val="0"/>
    <w:pPr>
      <w:tabs>
        <w:tab w:val="center" w:pos="4154"/>
        <w:tab w:val="right" w:pos="8306"/>
      </w:tabs>
      <w:jc w:val="left"/>
    </w:pPr>
  </w:style>
  <w:style w:type="paragraph" w:customStyle="1" w:styleId="7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6">
    <w:name w:val="附录图标题"/>
    <w:next w:val="57"/>
    <w:qFormat/>
    <w:uiPriority w:val="0"/>
    <w:pPr>
      <w:jc w:val="center"/>
    </w:pPr>
    <w:rPr>
      <w:rFonts w:ascii="黑体" w:hAnsi="Times New Roman" w:eastAsia="黑体" w:cs="Times New Roman"/>
      <w:sz w:val="21"/>
      <w:lang w:val="en-US" w:eastAsia="zh-CN" w:bidi="ar-SA"/>
    </w:rPr>
  </w:style>
  <w:style w:type="paragraph" w:customStyle="1" w:styleId="77">
    <w:name w:val="实施日期"/>
    <w:basedOn w:val="53"/>
    <w:qFormat/>
    <w:uiPriority w:val="0"/>
    <w:pPr>
      <w:jc w:val="right"/>
    </w:pPr>
  </w:style>
  <w:style w:type="paragraph" w:customStyle="1" w:styleId="78">
    <w:name w:val="四级条标题"/>
    <w:basedOn w:val="59"/>
    <w:next w:val="57"/>
    <w:qFormat/>
    <w:uiPriority w:val="0"/>
    <w:pPr>
      <w:outlineLvl w:val="5"/>
    </w:pPr>
  </w:style>
  <w:style w:type="paragraph" w:customStyle="1" w:styleId="79">
    <w:name w:val="注×："/>
    <w:qFormat/>
    <w:uiPriority w:val="0"/>
    <w:pPr>
      <w:widowControl w:val="0"/>
      <w:numPr>
        <w:ilvl w:val="0"/>
        <w:numId w:val="4"/>
      </w:numPr>
      <w:tabs>
        <w:tab w:val="left" w:pos="360"/>
        <w:tab w:val="left" w:pos="630"/>
        <w:tab w:val="clear" w:pos="900"/>
      </w:tabs>
      <w:autoSpaceDE w:val="0"/>
      <w:autoSpaceDN w:val="0"/>
      <w:ind w:left="0" w:firstLine="0"/>
      <w:jc w:val="both"/>
    </w:pPr>
    <w:rPr>
      <w:rFonts w:ascii="宋体" w:hAnsi="Times New Roman" w:eastAsia="宋体" w:cs="Times New Roman"/>
      <w:sz w:val="18"/>
      <w:lang w:val="en-US" w:eastAsia="zh-CN" w:bidi="ar-SA"/>
    </w:rPr>
  </w:style>
  <w:style w:type="paragraph" w:customStyle="1" w:styleId="80">
    <w:name w:val="附录表标题"/>
    <w:next w:val="57"/>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8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82">
    <w:name w:val="二级无标题条"/>
    <w:basedOn w:val="1"/>
    <w:qFormat/>
    <w:uiPriority w:val="0"/>
    <w:pPr>
      <w:numPr>
        <w:ilvl w:val="3"/>
        <w:numId w:val="3"/>
      </w:numPr>
    </w:pPr>
  </w:style>
  <w:style w:type="paragraph" w:customStyle="1" w:styleId="8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4">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85">
    <w:name w:val="五级无标题条"/>
    <w:basedOn w:val="1"/>
    <w:qFormat/>
    <w:uiPriority w:val="0"/>
    <w:pPr>
      <w:numPr>
        <w:ilvl w:val="6"/>
        <w:numId w:val="3"/>
      </w:numPr>
    </w:pPr>
  </w:style>
  <w:style w:type="paragraph" w:customStyle="1" w:styleId="86">
    <w:name w:val="无标题条"/>
    <w:next w:val="57"/>
    <w:qFormat/>
    <w:uiPriority w:val="0"/>
    <w:pPr>
      <w:jc w:val="both"/>
    </w:pPr>
    <w:rPr>
      <w:rFonts w:ascii="Times New Roman" w:hAnsi="Times New Roman" w:eastAsia="宋体" w:cs="Times New Roman"/>
      <w:sz w:val="21"/>
      <w:lang w:val="en-US" w:eastAsia="zh-CN" w:bidi="ar-SA"/>
    </w:rPr>
  </w:style>
  <w:style w:type="paragraph" w:customStyle="1" w:styleId="87">
    <w:name w:val="附录五级条标题"/>
    <w:basedOn w:val="88"/>
    <w:next w:val="57"/>
    <w:qFormat/>
    <w:uiPriority w:val="0"/>
    <w:pPr>
      <w:numPr>
        <w:ilvl w:val="6"/>
      </w:numPr>
      <w:tabs>
        <w:tab w:val="left" w:pos="360"/>
      </w:tabs>
      <w:outlineLvl w:val="6"/>
    </w:pPr>
  </w:style>
  <w:style w:type="paragraph" w:customStyle="1" w:styleId="88">
    <w:name w:val="附录四级条标题"/>
    <w:basedOn w:val="70"/>
    <w:next w:val="57"/>
    <w:qFormat/>
    <w:uiPriority w:val="0"/>
    <w:pPr>
      <w:numPr>
        <w:ilvl w:val="5"/>
      </w:numPr>
      <w:outlineLvl w:val="5"/>
    </w:pPr>
  </w:style>
  <w:style w:type="paragraph" w:customStyle="1" w:styleId="89">
    <w:name w:val="其他发布部门"/>
    <w:basedOn w:val="66"/>
    <w:qFormat/>
    <w:uiPriority w:val="0"/>
    <w:pPr>
      <w:spacing w:line="0" w:lineRule="atLeast"/>
    </w:pPr>
    <w:rPr>
      <w:rFonts w:ascii="黑体" w:eastAsia="黑体"/>
      <w:b w:val="0"/>
    </w:rPr>
  </w:style>
  <w:style w:type="paragraph" w:customStyle="1" w:styleId="90">
    <w:name w:val="示例"/>
    <w:next w:val="57"/>
    <w:qFormat/>
    <w:uiPriority w:val="0"/>
    <w:pPr>
      <w:numPr>
        <w:ilvl w:val="0"/>
        <w:numId w:val="5"/>
      </w:numPr>
      <w:tabs>
        <w:tab w:val="left" w:pos="360"/>
        <w:tab w:val="clear" w:pos="1120"/>
      </w:tabs>
      <w:ind w:firstLine="0"/>
      <w:jc w:val="both"/>
    </w:pPr>
    <w:rPr>
      <w:rFonts w:ascii="宋体" w:hAnsi="Times New Roman" w:eastAsia="宋体" w:cs="Times New Roman"/>
      <w:sz w:val="18"/>
      <w:lang w:val="en-US" w:eastAsia="zh-CN" w:bidi="ar-SA"/>
    </w:rPr>
  </w:style>
  <w:style w:type="paragraph" w:customStyle="1" w:styleId="91">
    <w:name w:val="封面标准号2"/>
    <w:basedOn w:val="73"/>
    <w:qFormat/>
    <w:uiPriority w:val="99"/>
    <w:pPr>
      <w:adjustRightInd w:val="0"/>
      <w:spacing w:before="357" w:line="280" w:lineRule="exact"/>
    </w:pPr>
  </w:style>
  <w:style w:type="paragraph" w:customStyle="1" w:styleId="92">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参考文献、索引标题"/>
    <w:basedOn w:val="94"/>
    <w:next w:val="1"/>
    <w:qFormat/>
    <w:uiPriority w:val="0"/>
    <w:pPr>
      <w:numPr>
        <w:numId w:val="0"/>
      </w:numPr>
      <w:tabs>
        <w:tab w:val="left" w:pos="360"/>
      </w:tabs>
      <w:spacing w:after="200"/>
    </w:pPr>
    <w:rPr>
      <w:sz w:val="21"/>
    </w:rPr>
  </w:style>
  <w:style w:type="paragraph" w:customStyle="1" w:styleId="94">
    <w:name w:val="前言、引言标题"/>
    <w:next w:val="1"/>
    <w:qFormat/>
    <w:uiPriority w:val="0"/>
    <w:pPr>
      <w:numPr>
        <w:ilvl w:val="0"/>
        <w:numId w:val="6"/>
      </w:num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95">
    <w:name w:val="附录标识"/>
    <w:basedOn w:val="94"/>
    <w:qFormat/>
    <w:uiPriority w:val="0"/>
    <w:pPr>
      <w:numPr>
        <w:ilvl w:val="0"/>
        <w:numId w:val="1"/>
      </w:numPr>
      <w:tabs>
        <w:tab w:val="left" w:pos="6405"/>
        <w:tab w:val="clear" w:pos="360"/>
      </w:tabs>
      <w:spacing w:after="200"/>
    </w:pPr>
    <w:rPr>
      <w:sz w:val="21"/>
    </w:rPr>
  </w:style>
  <w:style w:type="paragraph" w:customStyle="1" w:styleId="9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7">
    <w:name w:val="封面标准代替信息"/>
    <w:basedOn w:val="91"/>
    <w:qFormat/>
    <w:uiPriority w:val="0"/>
    <w:pPr>
      <w:spacing w:before="57"/>
    </w:pPr>
    <w:rPr>
      <w:rFonts w:ascii="宋体"/>
      <w:sz w:val="21"/>
    </w:rPr>
  </w:style>
  <w:style w:type="paragraph" w:customStyle="1" w:styleId="98">
    <w:name w:val="四级无"/>
    <w:basedOn w:val="78"/>
    <w:qFormat/>
    <w:uiPriority w:val="0"/>
    <w:pPr>
      <w:jc w:val="left"/>
    </w:pPr>
    <w:rPr>
      <w:rFonts w:ascii="宋体" w:eastAsia="宋体"/>
      <w:szCs w:val="21"/>
    </w:rPr>
  </w:style>
  <w:style w:type="paragraph" w:customStyle="1" w:styleId="99">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0">
    <w:name w:val="列项●（二级）"/>
    <w:qFormat/>
    <w:uiPriority w:val="0"/>
    <w:pPr>
      <w:numPr>
        <w:ilvl w:val="1"/>
        <w:numId w:val="7"/>
      </w:numPr>
      <w:tabs>
        <w:tab w:val="left" w:pos="840"/>
      </w:tabs>
      <w:jc w:val="both"/>
    </w:pPr>
    <w:rPr>
      <w:rFonts w:ascii="宋体" w:hAnsi="Times New Roman" w:eastAsia="宋体" w:cs="Times New Roman"/>
      <w:sz w:val="21"/>
      <w:lang w:val="en-US" w:eastAsia="zh-CN" w:bidi="ar-SA"/>
    </w:rPr>
  </w:style>
  <w:style w:type="paragraph" w:customStyle="1" w:styleId="101">
    <w:name w:val="目次、标准名称标题"/>
    <w:basedOn w:val="94"/>
    <w:next w:val="57"/>
    <w:qFormat/>
    <w:uiPriority w:val="0"/>
    <w:pPr>
      <w:numPr>
        <w:numId w:val="0"/>
      </w:numPr>
      <w:spacing w:line="460" w:lineRule="exact"/>
    </w:pPr>
  </w:style>
  <w:style w:type="paragraph" w:customStyle="1" w:styleId="102">
    <w:name w:val="条文脚注"/>
    <w:basedOn w:val="27"/>
    <w:qFormat/>
    <w:uiPriority w:val="0"/>
    <w:pPr>
      <w:ind w:left="780" w:leftChars="200" w:hanging="360" w:hangingChars="200"/>
      <w:jc w:val="both"/>
    </w:pPr>
    <w:rPr>
      <w:rFonts w:ascii="宋体"/>
    </w:rPr>
  </w:style>
  <w:style w:type="paragraph" w:customStyle="1" w:styleId="103">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04">
    <w:name w:val="列项——"/>
    <w:qFormat/>
    <w:uiPriority w:val="0"/>
    <w:pPr>
      <w:widowControl w:val="0"/>
      <w:numPr>
        <w:ilvl w:val="0"/>
        <w:numId w:val="8"/>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105">
    <w:name w:val="列项◆（三级）"/>
    <w:basedOn w:val="1"/>
    <w:qFormat/>
    <w:uiPriority w:val="0"/>
    <w:pPr>
      <w:numPr>
        <w:ilvl w:val="2"/>
        <w:numId w:val="7"/>
      </w:numPr>
    </w:pPr>
    <w:rPr>
      <w:rFonts w:ascii="宋体"/>
      <w:szCs w:val="21"/>
    </w:rPr>
  </w:style>
  <w:style w:type="paragraph" w:customStyle="1" w:styleId="106">
    <w:name w:val="三级无标题条"/>
    <w:basedOn w:val="1"/>
    <w:qFormat/>
    <w:uiPriority w:val="0"/>
    <w:pPr>
      <w:numPr>
        <w:ilvl w:val="4"/>
        <w:numId w:val="3"/>
      </w:numPr>
    </w:pPr>
  </w:style>
  <w:style w:type="paragraph" w:customStyle="1" w:styleId="10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08">
    <w:name w:val="其他标准称谓"/>
    <w:qFormat/>
    <w:uiPriority w:val="99"/>
    <w:pPr>
      <w:spacing w:line="0" w:lineRule="atLeast"/>
      <w:jc w:val="distribute"/>
    </w:pPr>
    <w:rPr>
      <w:rFonts w:ascii="黑体" w:hAnsi="宋体" w:eastAsia="黑体" w:cs="Times New Roman"/>
      <w:sz w:val="52"/>
      <w:lang w:val="en-US" w:eastAsia="zh-CN" w:bidi="ar-SA"/>
    </w:rPr>
  </w:style>
  <w:style w:type="paragraph" w:customStyle="1" w:styleId="109">
    <w:name w:val="标准书眉一"/>
    <w:qFormat/>
    <w:uiPriority w:val="0"/>
    <w:pPr>
      <w:jc w:val="both"/>
    </w:pPr>
    <w:rPr>
      <w:rFonts w:ascii="Times New Roman" w:hAnsi="Times New Roman" w:eastAsia="宋体" w:cs="Times New Roman"/>
      <w:lang w:val="en-US" w:eastAsia="zh-CN" w:bidi="ar-SA"/>
    </w:rPr>
  </w:style>
  <w:style w:type="paragraph" w:customStyle="1" w:styleId="110">
    <w:name w:val="一级无标题条"/>
    <w:basedOn w:val="1"/>
    <w:qFormat/>
    <w:uiPriority w:val="0"/>
    <w:pPr>
      <w:numPr>
        <w:ilvl w:val="2"/>
        <w:numId w:val="3"/>
      </w:numPr>
    </w:pPr>
  </w:style>
  <w:style w:type="paragraph" w:customStyle="1" w:styleId="111">
    <w:name w:val="五级条标题"/>
    <w:basedOn w:val="78"/>
    <w:next w:val="57"/>
    <w:qFormat/>
    <w:uiPriority w:val="0"/>
    <w:pPr>
      <w:outlineLvl w:val="6"/>
    </w:pPr>
  </w:style>
  <w:style w:type="paragraph" w:customStyle="1" w:styleId="112">
    <w:name w:val="封面正文"/>
    <w:qFormat/>
    <w:uiPriority w:val="0"/>
    <w:pPr>
      <w:jc w:val="both"/>
    </w:pPr>
    <w:rPr>
      <w:rFonts w:ascii="Times New Roman" w:hAnsi="Times New Roman" w:eastAsia="宋体" w:cs="Times New Roman"/>
      <w:lang w:val="en-US" w:eastAsia="zh-CN" w:bidi="ar-SA"/>
    </w:rPr>
  </w:style>
  <w:style w:type="paragraph" w:customStyle="1" w:styleId="113">
    <w:name w:val="正文表标题"/>
    <w:next w:val="57"/>
    <w:qFormat/>
    <w:uiPriority w:val="0"/>
    <w:pPr>
      <w:numPr>
        <w:ilvl w:val="0"/>
        <w:numId w:val="9"/>
      </w:numPr>
      <w:tabs>
        <w:tab w:val="left" w:pos="360"/>
      </w:tabs>
      <w:jc w:val="center"/>
    </w:pPr>
    <w:rPr>
      <w:rFonts w:ascii="黑体" w:hAnsi="Times New Roman" w:eastAsia="黑体" w:cs="Times New Roman"/>
      <w:sz w:val="21"/>
      <w:lang w:val="en-US" w:eastAsia="zh-CN" w:bidi="ar-SA"/>
    </w:rPr>
  </w:style>
  <w:style w:type="paragraph" w:customStyle="1" w:styleId="114">
    <w:name w:val="列项——（一级）"/>
    <w:qFormat/>
    <w:uiPriority w:val="0"/>
    <w:pPr>
      <w:widowControl w:val="0"/>
      <w:numPr>
        <w:ilvl w:val="0"/>
        <w:numId w:val="7"/>
      </w:numPr>
      <w:jc w:val="both"/>
    </w:pPr>
    <w:rPr>
      <w:rFonts w:ascii="宋体" w:hAnsi="Times New Roman" w:eastAsia="宋体" w:cs="Times New Roman"/>
      <w:sz w:val="21"/>
      <w:lang w:val="en-US" w:eastAsia="zh-CN" w:bidi="ar-SA"/>
    </w:rPr>
  </w:style>
  <w:style w:type="paragraph" w:customStyle="1" w:styleId="115">
    <w:name w:val="正文图标题"/>
    <w:next w:val="57"/>
    <w:qFormat/>
    <w:uiPriority w:val="0"/>
    <w:pPr>
      <w:numPr>
        <w:ilvl w:val="0"/>
        <w:numId w:val="10"/>
      </w:numPr>
      <w:tabs>
        <w:tab w:val="left" w:pos="360"/>
      </w:tabs>
      <w:jc w:val="center"/>
    </w:pPr>
    <w:rPr>
      <w:rFonts w:ascii="黑体" w:hAnsi="Times New Roman" w:eastAsia="黑体" w:cs="Times New Roman"/>
      <w:sz w:val="21"/>
      <w:lang w:val="en-US" w:eastAsia="zh-CN" w:bidi="ar-SA"/>
    </w:rPr>
  </w:style>
  <w:style w:type="paragraph" w:customStyle="1" w:styleId="11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7">
    <w:name w:val="注："/>
    <w:next w:val="57"/>
    <w:qFormat/>
    <w:uiPriority w:val="0"/>
    <w:pPr>
      <w:widowControl w:val="0"/>
      <w:numPr>
        <w:ilvl w:val="0"/>
        <w:numId w:val="11"/>
      </w:numPr>
      <w:tabs>
        <w:tab w:val="left" w:pos="360"/>
        <w:tab w:val="clear" w:pos="1140"/>
      </w:tabs>
      <w:autoSpaceDE w:val="0"/>
      <w:autoSpaceDN w:val="0"/>
      <w:ind w:left="0" w:firstLine="0"/>
      <w:jc w:val="both"/>
    </w:pPr>
    <w:rPr>
      <w:rFonts w:ascii="宋体" w:hAnsi="Times New Roman" w:eastAsia="宋体" w:cs="Times New Roman"/>
      <w:sz w:val="18"/>
      <w:lang w:val="en-US" w:eastAsia="zh-CN" w:bidi="ar-SA"/>
    </w:rPr>
  </w:style>
  <w:style w:type="paragraph" w:customStyle="1" w:styleId="118">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19">
    <w:name w:val="批注文字 字符"/>
    <w:basedOn w:val="35"/>
    <w:link w:val="18"/>
    <w:qFormat/>
    <w:uiPriority w:val="0"/>
    <w:rPr>
      <w:kern w:val="2"/>
      <w:sz w:val="21"/>
      <w:szCs w:val="24"/>
    </w:rPr>
  </w:style>
  <w:style w:type="character" w:customStyle="1" w:styleId="120">
    <w:name w:val="批注主题 字符"/>
    <w:basedOn w:val="119"/>
    <w:link w:val="32"/>
    <w:qFormat/>
    <w:uiPriority w:val="0"/>
    <w:rPr>
      <w:b/>
      <w:bCs/>
      <w:kern w:val="2"/>
      <w:sz w:val="21"/>
      <w:szCs w:val="24"/>
    </w:rPr>
  </w:style>
  <w:style w:type="character" w:customStyle="1" w:styleId="121">
    <w:name w:val="段 Char"/>
    <w:link w:val="57"/>
    <w:qFormat/>
    <w:uiPriority w:val="0"/>
    <w:rPr>
      <w:rFonts w:ascii="宋体"/>
      <w:sz w:val="21"/>
    </w:rPr>
  </w:style>
  <w:style w:type="character" w:customStyle="1" w:styleId="122">
    <w:name w:val="正文文本缩进 字符"/>
    <w:basedOn w:val="35"/>
    <w:link w:val="19"/>
    <w:qFormat/>
    <w:uiPriority w:val="0"/>
    <w:rPr>
      <w:rFonts w:ascii="宋体" w:hAnsi="宋体"/>
      <w:kern w:val="2"/>
      <w:sz w:val="23"/>
      <w:szCs w:val="24"/>
    </w:rPr>
  </w:style>
  <w:style w:type="character" w:customStyle="1" w:styleId="123">
    <w:name w:val="纯文本 字符"/>
    <w:basedOn w:val="35"/>
    <w:link w:val="21"/>
    <w:qFormat/>
    <w:uiPriority w:val="0"/>
    <w:rPr>
      <w:rFonts w:ascii="宋体" w:hAnsi="Courier New" w:cs="Courier New"/>
      <w:kern w:val="2"/>
      <w:sz w:val="21"/>
      <w:szCs w:val="21"/>
    </w:rPr>
  </w:style>
  <w:style w:type="character" w:customStyle="1" w:styleId="124">
    <w:name w:val="日期 字符"/>
    <w:basedOn w:val="35"/>
    <w:link w:val="23"/>
    <w:qFormat/>
    <w:uiPriority w:val="0"/>
    <w:rPr>
      <w:kern w:val="2"/>
      <w:sz w:val="21"/>
      <w:szCs w:val="24"/>
    </w:rPr>
  </w:style>
  <w:style w:type="character" w:customStyle="1" w:styleId="125">
    <w:name w:val="页眉 字符"/>
    <w:basedOn w:val="35"/>
    <w:link w:val="26"/>
    <w:qFormat/>
    <w:uiPriority w:val="0"/>
    <w:rPr>
      <w:kern w:val="2"/>
      <w:sz w:val="18"/>
      <w:szCs w:val="18"/>
    </w:rPr>
  </w:style>
  <w:style w:type="paragraph" w:customStyle="1" w:styleId="126">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127">
    <w:name w:val="列出段落1"/>
    <w:basedOn w:val="1"/>
    <w:qFormat/>
    <w:uiPriority w:val="34"/>
    <w:pPr>
      <w:ind w:firstLine="420" w:firstLineChars="200"/>
    </w:pPr>
  </w:style>
  <w:style w:type="paragraph" w:customStyle="1" w:styleId="128">
    <w:name w:val="标准 标题3级"/>
    <w:basedOn w:val="1"/>
    <w:link w:val="129"/>
    <w:qFormat/>
    <w:uiPriority w:val="99"/>
    <w:pPr>
      <w:spacing w:before="50" w:after="50"/>
      <w:ind w:firstLine="200" w:firstLineChars="200"/>
    </w:pPr>
    <w:rPr>
      <w:rFonts w:eastAsia="黑体"/>
      <w:szCs w:val="20"/>
    </w:rPr>
  </w:style>
  <w:style w:type="character" w:customStyle="1" w:styleId="129">
    <w:name w:val="标准 标题3级 Char"/>
    <w:basedOn w:val="35"/>
    <w:link w:val="128"/>
    <w:qFormat/>
    <w:locked/>
    <w:uiPriority w:val="99"/>
    <w:rPr>
      <w:rFonts w:eastAsia="黑体"/>
      <w:kern w:val="2"/>
      <w:sz w:val="21"/>
    </w:rPr>
  </w:style>
  <w:style w:type="character" w:customStyle="1" w:styleId="130">
    <w:name w:val="emtidy-2"/>
    <w:basedOn w:val="35"/>
    <w:qFormat/>
    <w:uiPriority w:val="0"/>
  </w:style>
  <w:style w:type="paragraph" w:customStyle="1" w:styleId="131">
    <w:name w:val="一级无"/>
    <w:basedOn w:val="61"/>
    <w:qFormat/>
    <w:uiPriority w:val="99"/>
    <w:pPr>
      <w:tabs>
        <w:tab w:val="clear" w:pos="360"/>
      </w:tabs>
      <w:jc w:val="left"/>
    </w:pPr>
    <w:rPr>
      <w:rFonts w:ascii="宋体" w:eastAsia="宋体" w:hAnsiTheme="minorHAnsi" w:cstheme="minorBidi"/>
      <w:szCs w:val="21"/>
    </w:rPr>
  </w:style>
  <w:style w:type="paragraph" w:customStyle="1" w:styleId="132">
    <w:name w:val="二级无"/>
    <w:basedOn w:val="60"/>
    <w:qFormat/>
    <w:uiPriority w:val="0"/>
    <w:pPr>
      <w:tabs>
        <w:tab w:val="clear" w:pos="360"/>
      </w:tabs>
      <w:spacing w:before="50" w:after="50"/>
      <w:jc w:val="left"/>
    </w:pPr>
    <w:rPr>
      <w:rFonts w:ascii="宋体" w:eastAsia="宋体" w:hAnsiTheme="minorHAnsi" w:cstheme="minorBidi"/>
      <w:szCs w:val="21"/>
    </w:rPr>
  </w:style>
  <w:style w:type="paragraph" w:customStyle="1" w:styleId="133">
    <w:name w:val="注：（正文）"/>
    <w:basedOn w:val="117"/>
    <w:next w:val="57"/>
    <w:qFormat/>
    <w:uiPriority w:val="0"/>
    <w:pPr>
      <w:tabs>
        <w:tab w:val="clear" w:pos="360"/>
      </w:tabs>
      <w:ind w:left="726" w:hanging="363"/>
    </w:pPr>
    <w:rPr>
      <w:szCs w:val="18"/>
    </w:rPr>
  </w:style>
  <w:style w:type="paragraph" w:customStyle="1" w:styleId="134">
    <w:name w:val="附录一级无"/>
    <w:basedOn w:val="55"/>
    <w:qFormat/>
    <w:uiPriority w:val="0"/>
    <w:rPr>
      <w:rFonts w:ascii="宋体" w:eastAsia="宋体"/>
      <w:szCs w:val="21"/>
    </w:rPr>
  </w:style>
  <w:style w:type="character" w:customStyle="1" w:styleId="135">
    <w:name w:val="标题 1 字符"/>
    <w:link w:val="2"/>
    <w:qFormat/>
    <w:uiPriority w:val="9"/>
    <w:rPr>
      <w:b/>
      <w:bCs/>
      <w:kern w:val="44"/>
      <w:sz w:val="44"/>
      <w:szCs w:val="44"/>
    </w:rPr>
  </w:style>
  <w:style w:type="character" w:customStyle="1" w:styleId="136">
    <w:name w:val="标题 2 字符"/>
    <w:link w:val="3"/>
    <w:qFormat/>
    <w:uiPriority w:val="0"/>
    <w:rPr>
      <w:rFonts w:ascii="Arial" w:hAnsi="Arial" w:eastAsia="黑体"/>
      <w:b/>
      <w:bCs/>
      <w:kern w:val="2"/>
      <w:sz w:val="32"/>
      <w:szCs w:val="32"/>
    </w:rPr>
  </w:style>
  <w:style w:type="character" w:customStyle="1" w:styleId="137">
    <w:name w:val="一级条标题 Char"/>
    <w:link w:val="61"/>
    <w:qFormat/>
    <w:uiPriority w:val="0"/>
    <w:rPr>
      <w:rFonts w:ascii="黑体" w:eastAsia="黑体"/>
      <w:sz w:val="21"/>
    </w:rPr>
  </w:style>
  <w:style w:type="character" w:customStyle="1" w:styleId="138">
    <w:name w:val="二级条标题 Char"/>
    <w:basedOn w:val="137"/>
    <w:link w:val="60"/>
    <w:qFormat/>
    <w:uiPriority w:val="0"/>
    <w:rPr>
      <w:rFonts w:ascii="黑体" w:eastAsia="黑体"/>
      <w:sz w:val="21"/>
    </w:rPr>
  </w:style>
  <w:style w:type="character" w:customStyle="1" w:styleId="139">
    <w:name w:val="hps"/>
    <w:basedOn w:val="35"/>
    <w:qFormat/>
    <w:uiPriority w:val="0"/>
  </w:style>
  <w:style w:type="character" w:customStyle="1" w:styleId="140">
    <w:name w:val="short_text"/>
    <w:basedOn w:val="35"/>
    <w:qFormat/>
    <w:uiPriority w:val="0"/>
  </w:style>
  <w:style w:type="paragraph" w:customStyle="1" w:styleId="141">
    <w:name w:val="ordinary-output target-output"/>
    <w:basedOn w:val="1"/>
    <w:qFormat/>
    <w:uiPriority w:val="0"/>
    <w:pPr>
      <w:widowControl/>
      <w:spacing w:before="100" w:beforeAutospacing="1" w:after="100" w:afterAutospacing="1"/>
      <w:jc w:val="left"/>
    </w:pPr>
    <w:rPr>
      <w:rFonts w:ascii="宋体" w:hAnsi="宋体" w:cs="宋体"/>
      <w:kern w:val="0"/>
      <w:sz w:val="24"/>
      <w:u w:color="000000"/>
    </w:rPr>
  </w:style>
  <w:style w:type="character" w:customStyle="1" w:styleId="142">
    <w:name w:val="high-light-bg4"/>
    <w:basedOn w:val="35"/>
    <w:qFormat/>
    <w:uiPriority w:val="0"/>
  </w:style>
  <w:style w:type="table" w:customStyle="1" w:styleId="143">
    <w:name w:val="网格型1"/>
    <w:basedOn w:val="33"/>
    <w:qFormat/>
    <w:uiPriority w:val="0"/>
    <w:pPr>
      <w:spacing w:line="357"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4">
    <w:name w:val="TOC 标题1"/>
    <w:basedOn w:val="2"/>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u w:color="000000"/>
    </w:rPr>
  </w:style>
  <w:style w:type="table" w:customStyle="1" w:styleId="145">
    <w:name w:val="网格型2"/>
    <w:basedOn w:val="33"/>
    <w:qFormat/>
    <w:uiPriority w:val="0"/>
    <w:pPr>
      <w:spacing w:line="357"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147">
    <w:name w:val="批注框文本 Char29"/>
    <w:semiHidden/>
    <w:qFormat/>
    <w:uiPriority w:val="99"/>
    <w:rPr>
      <w:rFonts w:cs="宋体"/>
      <w:sz w:val="18"/>
      <w:szCs w:val="18"/>
    </w:rPr>
  </w:style>
  <w:style w:type="character" w:customStyle="1" w:styleId="148">
    <w:name w:val="段 Char Char"/>
    <w:unhideWhenUsed/>
    <w:qFormat/>
    <w:locked/>
    <w:uiPriority w:val="99"/>
    <w:rPr>
      <w:rFonts w:ascii="宋体" w:hAnsi="Calibri" w:cs="宋体"/>
      <w:kern w:val="2"/>
      <w:sz w:val="21"/>
      <w:szCs w:val="21"/>
      <w:lang w:val="en-US" w:eastAsia="zh-CN" w:bidi="ar-SA"/>
    </w:rPr>
  </w:style>
  <w:style w:type="character" w:customStyle="1" w:styleId="149">
    <w:name w:val="批注框文本 Char27"/>
    <w:semiHidden/>
    <w:qFormat/>
    <w:uiPriority w:val="99"/>
    <w:rPr>
      <w:rFonts w:cs="宋体"/>
      <w:sz w:val="18"/>
      <w:szCs w:val="18"/>
    </w:rPr>
  </w:style>
  <w:style w:type="character" w:customStyle="1" w:styleId="150">
    <w:name w:val="标题 3 字符"/>
    <w:link w:val="4"/>
    <w:qFormat/>
    <w:uiPriority w:val="0"/>
    <w:rPr>
      <w:b/>
      <w:bCs/>
      <w:kern w:val="2"/>
      <w:sz w:val="32"/>
      <w:szCs w:val="32"/>
    </w:rPr>
  </w:style>
  <w:style w:type="paragraph" w:customStyle="1" w:styleId="151">
    <w:name w:val="修订2"/>
    <w:hidden/>
    <w:semiHidden/>
    <w:uiPriority w:val="99"/>
    <w:rPr>
      <w:rFonts w:ascii="Times New Roman" w:hAnsi="Times New Roman" w:eastAsia="宋体" w:cs="Times New Roman"/>
      <w:kern w:val="2"/>
      <w:sz w:val="21"/>
      <w:szCs w:val="24"/>
      <w:lang w:val="en-US" w:eastAsia="zh-CN" w:bidi="ar-SA"/>
    </w:rPr>
  </w:style>
  <w:style w:type="paragraph" w:customStyle="1" w:styleId="152">
    <w:name w:val="修订3"/>
    <w:hidden/>
    <w:semiHidden/>
    <w:uiPriority w:val="99"/>
    <w:rPr>
      <w:rFonts w:ascii="Times New Roman" w:hAnsi="Times New Roman" w:eastAsia="宋体" w:cs="Times New Roman"/>
      <w:kern w:val="2"/>
      <w:sz w:val="21"/>
      <w:szCs w:val="24"/>
      <w:lang w:val="en-US" w:eastAsia="zh-CN" w:bidi="ar-SA"/>
    </w:rPr>
  </w:style>
  <w:style w:type="paragraph" w:customStyle="1" w:styleId="153">
    <w:name w:val="标准文件_段"/>
    <w:link w:val="15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标准文件_封面发布日期"/>
    <w:basedOn w:val="1"/>
    <w:uiPriority w:val="0"/>
    <w:pPr>
      <w:adjustRightInd w:val="0"/>
      <w:spacing w:line="310" w:lineRule="exact"/>
    </w:pPr>
    <w:rPr>
      <w:rFonts w:ascii="黑体" w:hAnsi="Calibri" w:eastAsia="黑体"/>
      <w:kern w:val="0"/>
      <w:sz w:val="28"/>
      <w:szCs w:val="21"/>
    </w:rPr>
  </w:style>
  <w:style w:type="character" w:customStyle="1" w:styleId="155">
    <w:name w:val="标准文件_段 Char"/>
    <w:link w:val="153"/>
    <w:qFormat/>
    <w:uiPriority w:val="0"/>
    <w:rPr>
      <w:rFonts w:ascii="宋体"/>
      <w:sz w:val="21"/>
    </w:rPr>
  </w:style>
  <w:style w:type="character" w:customStyle="1" w:styleId="156">
    <w:name w:val="一级条标题 字符"/>
    <w:qFormat/>
    <w:locked/>
    <w:uiPriority w:val="0"/>
    <w:rPr>
      <w:rFonts w:ascii="黑体" w:hAnsi="黑体" w:eastAsia="黑体" w:cs="黑体"/>
      <w:sz w:val="21"/>
      <w:szCs w:val="21"/>
    </w:rPr>
  </w:style>
  <w:style w:type="character" w:customStyle="1" w:styleId="157">
    <w:name w:val="章标题 字符"/>
    <w:link w:val="62"/>
    <w:qFormat/>
    <w:locked/>
    <w:uiPriority w:val="0"/>
    <w:rPr>
      <w:rFonts w:ascii="黑体" w:eastAsia="黑体"/>
      <w:sz w:val="21"/>
    </w:rPr>
  </w:style>
  <w:style w:type="character" w:customStyle="1" w:styleId="158">
    <w:name w:val="段 字符"/>
    <w:qFormat/>
    <w:locked/>
    <w:uiPriority w:val="0"/>
    <w:rPr>
      <w:rFonts w:cs="Calibr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3458;&#25143;&#36164;&#26009;\&#29579;&#24314;&#28023;\201803&#20135;&#21697;&#27719;&#32534;\&#25991;&#20214;\&#20108;&#37096;&#20998;\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487A07-E064-47EA-9E15-DD28E796D4CC}">
  <ds:schemaRefs/>
</ds:datastoreItem>
</file>

<file path=docProps/app.xml><?xml version="1.0" encoding="utf-8"?>
<Properties xmlns="http://schemas.openxmlformats.org/officeDocument/2006/extended-properties" xmlns:vt="http://schemas.openxmlformats.org/officeDocument/2006/docPropsVTypes">
  <Template>Tds</Template>
  <Company>中国标准研究中心</Company>
  <Pages>20</Pages>
  <Words>7560</Words>
  <Characters>8377</Characters>
  <Lines>77</Lines>
  <Paragraphs>21</Paragraphs>
  <TotalTime>5</TotalTime>
  <ScaleCrop>false</ScaleCrop>
  <LinksUpToDate>false</LinksUpToDate>
  <CharactersWithSpaces>8617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2024-08-27T07:19:00Z</dcterms:created>
  <dc:creator>GFT</dc:creator>
  <cp:lastModifiedBy>小葱伴豆腐</cp:lastModifiedBy>
  <cp:lastPrinted>2022-03-23T01:35:00Z</cp:lastPrinted>
  <dcterms:modified xsi:type="dcterms:W3CDTF">2024-08-28T01:29:53Z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7E8C7CEE77AA4635BFAA1B6BAB7A8209</vt:lpwstr>
  </property>
</Properties>
</file>